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BB060A" w14:textId="77777777" w:rsidR="00694556" w:rsidRDefault="0069455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468"/>
        <w:gridCol w:w="5103"/>
      </w:tblGrid>
      <w:tr w:rsidR="00694556" w14:paraId="259D6778" w14:textId="77777777" w:rsidTr="006B5996">
        <w:trPr>
          <w:trHeight w:val="295"/>
          <w:jc w:val="center"/>
        </w:trPr>
        <w:tc>
          <w:tcPr>
            <w:tcW w:w="3717" w:type="dxa"/>
            <w:gridSpan w:val="3"/>
          </w:tcPr>
          <w:p w14:paraId="03E37F89" w14:textId="77777777" w:rsidR="00694556" w:rsidRDefault="00694556">
            <w:pPr>
              <w:rPr>
                <w:rFonts w:ascii="Arial" w:hAnsi="Arial"/>
                <w:b/>
                <w:bCs/>
                <w:noProof w:val="0"/>
                <w:sz w:val="26"/>
                <w:szCs w:val="26"/>
                <w:rtl/>
              </w:rPr>
            </w:pPr>
          </w:p>
        </w:tc>
        <w:tc>
          <w:tcPr>
            <w:tcW w:w="5103" w:type="dxa"/>
          </w:tcPr>
          <w:p w14:paraId="49A04C56" w14:textId="77777777" w:rsidR="00694556" w:rsidRDefault="00694556" w:rsidP="006B5996">
            <w:pPr>
              <w:rPr>
                <w:rFonts w:ascii="Arial" w:hAnsi="Arial"/>
                <w:b/>
                <w:bCs/>
                <w:noProof w:val="0"/>
                <w:sz w:val="26"/>
                <w:szCs w:val="26"/>
                <w:rtl/>
              </w:rPr>
            </w:pPr>
          </w:p>
        </w:tc>
      </w:tr>
      <w:tr w:rsidR="006B5996" w14:paraId="616387F1" w14:textId="77777777">
        <w:trPr>
          <w:jc w:val="center"/>
        </w:trPr>
        <w:tc>
          <w:tcPr>
            <w:tcW w:w="743" w:type="dxa"/>
          </w:tcPr>
          <w:p w14:paraId="22973379" w14:textId="77777777" w:rsidR="006B5996" w:rsidRDefault="006B5996">
            <w:pPr>
              <w:jc w:val="both"/>
              <w:rPr>
                <w:rFonts w:ascii="Arial" w:hAnsi="Arial"/>
                <w:b/>
                <w:bCs/>
                <w:rtl/>
              </w:rPr>
            </w:pPr>
          </w:p>
        </w:tc>
        <w:tc>
          <w:tcPr>
            <w:tcW w:w="8077" w:type="dxa"/>
            <w:gridSpan w:val="3"/>
          </w:tcPr>
          <w:p w14:paraId="1D9E6A5F" w14:textId="77777777" w:rsidR="006B5996" w:rsidRDefault="006B5996" w:rsidP="004B01C6">
            <w:pPr>
              <w:rPr>
                <w:rFonts w:ascii="Arial" w:hAnsi="Arial"/>
                <w:b/>
                <w:bCs/>
                <w:rtl/>
              </w:rPr>
            </w:pPr>
          </w:p>
        </w:tc>
      </w:tr>
      <w:tr w:rsidR="00694556" w14:paraId="040AE8F5" w14:textId="77777777">
        <w:trPr>
          <w:jc w:val="center"/>
        </w:trPr>
        <w:tc>
          <w:tcPr>
            <w:tcW w:w="743" w:type="dxa"/>
          </w:tcPr>
          <w:p w14:paraId="426302B1" w14:textId="5543BDFD" w:rsidR="00694556" w:rsidRDefault="00384D27">
            <w:pPr>
              <w:jc w:val="both"/>
              <w:rPr>
                <w:rFonts w:ascii="Arial" w:hAnsi="Arial"/>
                <w:b/>
                <w:bCs/>
              </w:rPr>
            </w:pPr>
            <w:r>
              <w:rPr>
                <w:rFonts w:ascii="Arial" w:hAnsi="Arial" w:hint="cs"/>
                <w:b/>
                <w:bCs/>
                <w:rtl/>
              </w:rPr>
              <w:t>ל</w:t>
            </w:r>
            <w:r w:rsidR="00005C8B">
              <w:rPr>
                <w:rFonts w:ascii="Arial" w:hAnsi="Arial"/>
                <w:b/>
                <w:bCs/>
                <w:rtl/>
              </w:rPr>
              <w:t xml:space="preserve">פני </w:t>
            </w:r>
          </w:p>
        </w:tc>
        <w:tc>
          <w:tcPr>
            <w:tcW w:w="8077" w:type="dxa"/>
            <w:gridSpan w:val="3"/>
          </w:tcPr>
          <w:p w14:paraId="6B6B077B" w14:textId="77777777" w:rsidR="00694556" w:rsidRDefault="00AB26C9" w:rsidP="006B5996">
            <w:pPr>
              <w:rPr>
                <w:rFonts w:ascii="Arial" w:hAnsi="Arial" w:cs="FrankRuehl"/>
                <w:sz w:val="28"/>
                <w:szCs w:val="28"/>
                <w:highlight w:val="yellow"/>
              </w:rPr>
            </w:pPr>
            <w:r>
              <w:rPr>
                <w:rFonts w:ascii="Arial" w:hAnsi="Arial" w:hint="cs"/>
                <w:b/>
                <w:bCs/>
                <w:rtl/>
              </w:rPr>
              <w:t>כב' השופט</w:t>
            </w:r>
            <w:r w:rsidR="006D18EF">
              <w:rPr>
                <w:rFonts w:ascii="Arial" w:hAnsi="Arial" w:hint="cs"/>
                <w:b/>
                <w:bCs/>
                <w:rtl/>
              </w:rPr>
              <w:t>ת</w:t>
            </w:r>
            <w:r>
              <w:rPr>
                <w:rFonts w:ascii="Arial" w:hAnsi="Arial" w:hint="cs"/>
                <w:b/>
                <w:bCs/>
                <w:rtl/>
              </w:rPr>
              <w:t xml:space="preserve"> </w:t>
            </w:r>
            <w:r w:rsidR="004B01C6">
              <w:rPr>
                <w:rFonts w:ascii="Arial" w:hAnsi="Arial"/>
                <w:b/>
                <w:bCs/>
                <w:rtl/>
              </w:rPr>
              <w:t xml:space="preserve">הבכירה </w:t>
            </w:r>
            <w:sdt>
              <w:sdtPr>
                <w:rPr>
                  <w:rFonts w:ascii="Arial" w:hAnsi="Arial" w:hint="cs"/>
                  <w:b/>
                  <w:bCs/>
                  <w:rtl/>
                </w:rPr>
                <w:alias w:val="1573"/>
                <w:tag w:val="1573"/>
                <w:id w:val="-196468914"/>
                <w:placeholder>
                  <w:docPart w:val="E44FF618301F467CB3877AAD46FEA172"/>
                </w:placeholder>
                <w:text w:multiLine="1"/>
              </w:sdtPr>
              <w:sdtEndPr>
                <w:rPr>
                  <w:rFonts w:hint="default"/>
                </w:rPr>
              </w:sdtEndPr>
              <w:sdtContent>
                <w:r>
                  <w:rPr>
                    <w:rFonts w:ascii="Arial" w:hAnsi="Arial" w:hint="eastAsia"/>
                    <w:b/>
                    <w:bCs/>
                    <w:rtl/>
                  </w:rPr>
                  <w:t>רבקה מקייס</w:t>
                </w:r>
              </w:sdtContent>
            </w:sdt>
            <w:r w:rsidR="006B5996">
              <w:rPr>
                <w:rFonts w:ascii="Arial" w:hAnsi="Arial"/>
                <w:b/>
                <w:bCs/>
                <w:rtl/>
              </w:rPr>
              <w:t xml:space="preserve"> </w:t>
            </w:r>
          </w:p>
        </w:tc>
      </w:tr>
      <w:tr w:rsidR="00694556" w14:paraId="42ABC6AC" w14:textId="77777777">
        <w:trPr>
          <w:jc w:val="center"/>
        </w:trPr>
        <w:tc>
          <w:tcPr>
            <w:tcW w:w="3249" w:type="dxa"/>
            <w:gridSpan w:val="2"/>
          </w:tcPr>
          <w:p w14:paraId="3197A871" w14:textId="77777777" w:rsidR="00694556" w:rsidRDefault="00694556">
            <w:pPr>
              <w:bidi w:val="0"/>
              <w:jc w:val="right"/>
              <w:rPr>
                <w:rFonts w:ascii="Arial" w:hAnsi="Arial"/>
                <w:b/>
                <w:bCs/>
                <w:noProof w:val="0"/>
                <w:sz w:val="26"/>
                <w:szCs w:val="26"/>
              </w:rPr>
            </w:pPr>
          </w:p>
          <w:sdt>
            <w:sdtPr>
              <w:alias w:val="1180"/>
              <w:tag w:val="1180"/>
              <w:id w:val="555972887"/>
              <w:text w:multiLine="1"/>
            </w:sdtPr>
            <w:sdtEndPr/>
            <w:sdtContent>
              <w:p w14:paraId="2225BBB0" w14:textId="77777777" w:rsidR="00CF4FA4" w:rsidRDefault="00C13531">
                <w:pPr>
                  <w:bidi w:val="0"/>
                  <w:jc w:val="right"/>
                  <w:rPr>
                    <w:rFonts w:ascii="Arial" w:hAnsi="Arial"/>
                    <w:b/>
                    <w:bCs/>
                    <w:noProof w:val="0"/>
                    <w:sz w:val="26"/>
                    <w:szCs w:val="26"/>
                    <w:rtl/>
                  </w:rPr>
                </w:pPr>
                <w:r>
                  <w:rPr>
                    <w:rFonts w:ascii="Arial" w:hAnsi="Arial"/>
                    <w:b/>
                    <w:bCs/>
                    <w:noProof w:val="0"/>
                    <w:sz w:val="26"/>
                    <w:szCs w:val="26"/>
                    <w:rtl/>
                  </w:rPr>
                  <w:t>תובעים</w:t>
                </w:r>
              </w:p>
            </w:sdtContent>
          </w:sdt>
        </w:tc>
        <w:tc>
          <w:tcPr>
            <w:tcW w:w="5571" w:type="dxa"/>
            <w:gridSpan w:val="2"/>
          </w:tcPr>
          <w:p w14:paraId="1C9E111A" w14:textId="77777777" w:rsidR="00694556" w:rsidRDefault="00694556">
            <w:pPr>
              <w:rPr>
                <w:rFonts w:ascii="Arial" w:hAnsi="Arial"/>
                <w:b/>
                <w:bCs/>
                <w:noProof w:val="0"/>
                <w:sz w:val="26"/>
                <w:szCs w:val="26"/>
              </w:rPr>
            </w:pPr>
          </w:p>
          <w:p w14:paraId="7702D4D4" w14:textId="5B0864A6" w:rsidR="00694556" w:rsidRPr="00F97871" w:rsidRDefault="00384D27" w:rsidP="00F97871">
            <w:pPr>
              <w:suppressLineNumbers/>
              <w:rPr>
                <w:noProof w:val="0"/>
              </w:rPr>
            </w:pPr>
            <w:r>
              <w:rPr>
                <w:rFonts w:ascii="Arial" w:hAnsi="Arial" w:hint="cs"/>
                <w:b/>
                <w:bCs/>
                <w:sz w:val="26"/>
                <w:szCs w:val="26"/>
                <w:rtl/>
              </w:rPr>
              <w:t>פלוני</w:t>
            </w:r>
          </w:p>
        </w:tc>
      </w:tr>
      <w:tr w:rsidR="00694556" w14:paraId="5178D313" w14:textId="77777777">
        <w:trPr>
          <w:jc w:val="center"/>
        </w:trPr>
        <w:tc>
          <w:tcPr>
            <w:tcW w:w="8820" w:type="dxa"/>
            <w:gridSpan w:val="4"/>
          </w:tcPr>
          <w:p w14:paraId="52F17F7D" w14:textId="77777777" w:rsidR="00694556" w:rsidRDefault="00694556">
            <w:pPr>
              <w:rPr>
                <w:rFonts w:ascii="Arial" w:hAnsi="Arial"/>
                <w:b/>
                <w:bCs/>
                <w:noProof w:val="0"/>
                <w:sz w:val="26"/>
                <w:szCs w:val="26"/>
                <w:rtl/>
              </w:rPr>
            </w:pPr>
          </w:p>
          <w:p w14:paraId="15B4B16F" w14:textId="77777777" w:rsidR="00694556" w:rsidRDefault="00005C8B" w:rsidP="00384D27">
            <w:pPr>
              <w:ind w:firstLine="3328"/>
              <w:rPr>
                <w:rFonts w:ascii="Arial" w:hAnsi="Arial"/>
                <w:b/>
                <w:bCs/>
                <w:noProof w:val="0"/>
                <w:sz w:val="26"/>
                <w:szCs w:val="26"/>
                <w:rtl/>
              </w:rPr>
            </w:pPr>
            <w:r>
              <w:rPr>
                <w:rFonts w:ascii="Arial" w:hAnsi="Arial"/>
                <w:b/>
                <w:bCs/>
                <w:noProof w:val="0"/>
                <w:sz w:val="26"/>
                <w:szCs w:val="26"/>
                <w:rtl/>
              </w:rPr>
              <w:t>נגד</w:t>
            </w:r>
          </w:p>
          <w:p w14:paraId="5007ACB1" w14:textId="77777777" w:rsidR="00694556" w:rsidRDefault="00694556">
            <w:pPr>
              <w:rPr>
                <w:rFonts w:ascii="Arial" w:hAnsi="Arial"/>
                <w:b/>
                <w:bCs/>
                <w:noProof w:val="0"/>
                <w:sz w:val="26"/>
                <w:szCs w:val="26"/>
              </w:rPr>
            </w:pPr>
          </w:p>
        </w:tc>
      </w:tr>
      <w:tr w:rsidR="00694556" w14:paraId="190CB871" w14:textId="77777777">
        <w:trPr>
          <w:jc w:val="center"/>
        </w:trPr>
        <w:tc>
          <w:tcPr>
            <w:tcW w:w="3249" w:type="dxa"/>
            <w:gridSpan w:val="2"/>
          </w:tcPr>
          <w:p w14:paraId="23465267" w14:textId="77777777" w:rsidR="00694556" w:rsidRDefault="00391FBF">
            <w:pPr>
              <w:rPr>
                <w:rFonts w:ascii="Arial" w:hAnsi="Arial"/>
                <w:b/>
                <w:bCs/>
                <w:noProof w:val="0"/>
                <w:sz w:val="26"/>
                <w:szCs w:val="26"/>
              </w:rPr>
            </w:pPr>
            <w:sdt>
              <w:sdtPr>
                <w:rPr>
                  <w:rtl/>
                </w:rPr>
                <w:alias w:val="1184"/>
                <w:tag w:val="1184"/>
                <w:id w:val="1473403899"/>
                <w:text w:multiLine="1"/>
              </w:sdtPr>
              <w:sdtEndPr/>
              <w:sdtContent>
                <w:r w:rsidR="00F97871">
                  <w:rPr>
                    <w:rFonts w:ascii="Arial" w:hAnsi="Arial"/>
                    <w:b/>
                    <w:bCs/>
                    <w:noProof w:val="0"/>
                    <w:sz w:val="26"/>
                    <w:szCs w:val="26"/>
                    <w:rtl/>
                  </w:rPr>
                  <w:t>נתבעים</w:t>
                </w:r>
              </w:sdtContent>
            </w:sdt>
          </w:p>
        </w:tc>
        <w:tc>
          <w:tcPr>
            <w:tcW w:w="5571" w:type="dxa"/>
            <w:gridSpan w:val="2"/>
          </w:tcPr>
          <w:p w14:paraId="5BD3EC5E" w14:textId="1603CA9C" w:rsidR="00F97871" w:rsidRDefault="00384D27" w:rsidP="00F97871">
            <w:pPr>
              <w:suppressLineNumbers/>
              <w:rPr>
                <w:noProof w:val="0"/>
              </w:rPr>
            </w:pPr>
            <w:r>
              <w:rPr>
                <w:rFonts w:ascii="Arial" w:hAnsi="Arial" w:hint="cs"/>
                <w:b/>
                <w:bCs/>
                <w:sz w:val="26"/>
                <w:szCs w:val="26"/>
                <w:rtl/>
              </w:rPr>
              <w:t>פלונית</w:t>
            </w:r>
          </w:p>
          <w:p w14:paraId="6C1FBFC4" w14:textId="77777777" w:rsidR="00694556" w:rsidRDefault="00694556">
            <w:pPr>
              <w:rPr>
                <w:b/>
                <w:bCs/>
                <w:noProof w:val="0"/>
                <w:sz w:val="26"/>
                <w:szCs w:val="26"/>
                <w:rtl/>
              </w:rPr>
            </w:pPr>
          </w:p>
        </w:tc>
      </w:tr>
    </w:tbl>
    <w:p w14:paraId="180C92CE" w14:textId="77777777"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14:paraId="0CED7073" w14:textId="77777777">
        <w:trPr>
          <w:jc w:val="center"/>
        </w:trPr>
        <w:tc>
          <w:tcPr>
            <w:tcW w:w="8820" w:type="dxa"/>
          </w:tcPr>
          <w:p w14:paraId="3568B4D0" w14:textId="77777777" w:rsidR="00694556" w:rsidRDefault="00005C8B" w:rsidP="00384D27">
            <w:pPr>
              <w:bidi w:val="0"/>
              <w:ind w:right="3328"/>
              <w:jc w:val="right"/>
              <w:rPr>
                <w:rFonts w:ascii="Arial" w:hAnsi="Arial"/>
                <w:b/>
                <w:bCs/>
                <w:noProof w:val="0"/>
                <w:sz w:val="28"/>
                <w:szCs w:val="28"/>
                <w:u w:val="single"/>
              </w:rPr>
            </w:pPr>
            <w:r>
              <w:rPr>
                <w:rFonts w:ascii="Arial" w:hAnsi="Arial"/>
                <w:b/>
                <w:bCs/>
                <w:noProof w:val="0"/>
                <w:sz w:val="28"/>
                <w:szCs w:val="28"/>
                <w:u w:val="single"/>
                <w:rtl/>
              </w:rPr>
              <w:t>פסק דין</w:t>
            </w:r>
          </w:p>
        </w:tc>
      </w:tr>
    </w:tbl>
    <w:p w14:paraId="0BFF99F0" w14:textId="77777777" w:rsidR="00694556" w:rsidRDefault="00694556">
      <w:pPr>
        <w:spacing w:line="360" w:lineRule="auto"/>
        <w:jc w:val="both"/>
        <w:rPr>
          <w:rFonts w:ascii="Arial" w:hAnsi="Arial"/>
          <w:noProof w:val="0"/>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EB1053" w14:paraId="7B1335AB" w14:textId="77777777" w:rsidTr="00EB1053">
        <w:trPr>
          <w:jc w:val="center"/>
        </w:trPr>
        <w:tc>
          <w:tcPr>
            <w:tcW w:w="8820" w:type="dxa"/>
            <w:hideMark/>
          </w:tcPr>
          <w:p w14:paraId="67C13B77" w14:textId="77777777" w:rsidR="00EB1053" w:rsidRDefault="00EB1053">
            <w:pPr>
              <w:jc w:val="center"/>
              <w:rPr>
                <w:rFonts w:ascii="Arial" w:hAnsi="Arial"/>
                <w:b/>
                <w:bCs/>
                <w:u w:val="single"/>
                <w:rtl/>
              </w:rPr>
            </w:pPr>
          </w:p>
        </w:tc>
      </w:tr>
    </w:tbl>
    <w:p w14:paraId="2AFEE17A" w14:textId="77777777" w:rsidR="00EB1053" w:rsidRDefault="00EB1053" w:rsidP="00EB1053">
      <w:pPr>
        <w:spacing w:line="360" w:lineRule="auto"/>
        <w:jc w:val="both"/>
        <w:rPr>
          <w:rFonts w:ascii="Arial" w:hAnsi="Arial"/>
          <w:b/>
          <w:bCs/>
          <w:u w:val="single"/>
          <w:rtl/>
        </w:rPr>
      </w:pPr>
      <w:r>
        <w:rPr>
          <w:rFonts w:ascii="Arial" w:hAnsi="Arial" w:hint="cs"/>
          <w:b/>
          <w:bCs/>
          <w:u w:val="single"/>
          <w:rtl/>
        </w:rPr>
        <w:t>רקע כללי</w:t>
      </w:r>
    </w:p>
    <w:p w14:paraId="0F1CBEA5" w14:textId="1AE78FBD" w:rsidR="00EB1053" w:rsidRDefault="00EB1053" w:rsidP="00384D27">
      <w:pPr>
        <w:pStyle w:val="ad"/>
        <w:numPr>
          <w:ilvl w:val="0"/>
          <w:numId w:val="1"/>
        </w:numPr>
        <w:spacing w:line="360" w:lineRule="auto"/>
        <w:jc w:val="both"/>
        <w:rPr>
          <w:rFonts w:ascii="Arial" w:hAnsi="Arial"/>
        </w:rPr>
      </w:pPr>
      <w:r>
        <w:rPr>
          <w:rFonts w:ascii="Arial" w:hAnsi="Arial"/>
          <w:rtl/>
        </w:rPr>
        <w:t>הצדדים ש</w:t>
      </w:r>
      <w:r w:rsidR="00384D27">
        <w:rPr>
          <w:rFonts w:ascii="Arial" w:hAnsi="Arial"/>
        </w:rPr>
        <w:t>k</w:t>
      </w:r>
      <w:r>
        <w:rPr>
          <w:rFonts w:ascii="Arial" w:hAnsi="Arial"/>
          <w:rtl/>
        </w:rPr>
        <w:t xml:space="preserve">פניי נישאו זל"ז ביום </w:t>
      </w:r>
      <w:r w:rsidR="00C554D2">
        <w:rPr>
          <w:rFonts w:ascii="Arial" w:hAnsi="Arial" w:hint="cs"/>
          <w:rtl/>
        </w:rPr>
        <w:t>---</w:t>
      </w:r>
      <w:r>
        <w:rPr>
          <w:rFonts w:ascii="Arial" w:hAnsi="Arial"/>
          <w:rtl/>
        </w:rPr>
        <w:t xml:space="preserve">, ומנישואיהם נולדו שני הקטינים </w:t>
      </w:r>
      <w:r w:rsidR="00C554D2">
        <w:rPr>
          <w:rFonts w:ascii="Arial" w:hAnsi="Arial" w:hint="cs"/>
          <w:rtl/>
        </w:rPr>
        <w:t>---</w:t>
      </w:r>
      <w:r>
        <w:rPr>
          <w:rFonts w:ascii="Arial" w:hAnsi="Arial"/>
          <w:rtl/>
        </w:rPr>
        <w:t xml:space="preserve"> - יליד </w:t>
      </w:r>
      <w:r w:rsidR="00C554D2">
        <w:rPr>
          <w:rFonts w:ascii="Arial" w:hAnsi="Arial" w:hint="cs"/>
          <w:rtl/>
        </w:rPr>
        <w:t>---</w:t>
      </w:r>
      <w:r>
        <w:rPr>
          <w:rFonts w:ascii="Arial" w:hAnsi="Arial"/>
          <w:rtl/>
        </w:rPr>
        <w:t xml:space="preserve"> </w:t>
      </w:r>
      <w:r w:rsidR="00C554D2">
        <w:rPr>
          <w:rFonts w:ascii="Arial" w:hAnsi="Arial" w:hint="cs"/>
          <w:rtl/>
        </w:rPr>
        <w:t>ו---</w:t>
      </w:r>
      <w:r>
        <w:rPr>
          <w:rFonts w:ascii="Arial" w:hAnsi="Arial"/>
          <w:rtl/>
        </w:rPr>
        <w:t xml:space="preserve"> –</w:t>
      </w:r>
      <w:r>
        <w:rPr>
          <w:rFonts w:ascii="Arial" w:hAnsi="Arial"/>
        </w:rPr>
        <w:t xml:space="preserve"> </w:t>
      </w:r>
      <w:r>
        <w:rPr>
          <w:rFonts w:ascii="Arial" w:hAnsi="Arial"/>
          <w:rtl/>
        </w:rPr>
        <w:t xml:space="preserve">יליד </w:t>
      </w:r>
      <w:r w:rsidR="00C554D2">
        <w:rPr>
          <w:rFonts w:ascii="Arial" w:hAnsi="Arial" w:hint="cs"/>
          <w:rtl/>
        </w:rPr>
        <w:t>---</w:t>
      </w:r>
      <w:r>
        <w:rPr>
          <w:rFonts w:ascii="Arial" w:hAnsi="Arial"/>
          <w:rtl/>
        </w:rPr>
        <w:t xml:space="preserve">. ביום </w:t>
      </w:r>
      <w:r w:rsidR="00C554D2">
        <w:rPr>
          <w:rFonts w:ascii="Arial" w:hAnsi="Arial" w:hint="cs"/>
          <w:rtl/>
        </w:rPr>
        <w:t>---</w:t>
      </w:r>
      <w:r>
        <w:rPr>
          <w:rFonts w:ascii="Arial" w:hAnsi="Arial"/>
          <w:rtl/>
        </w:rPr>
        <w:t xml:space="preserve"> התגרשו הצדדים זמ"ז.</w:t>
      </w:r>
    </w:p>
    <w:p w14:paraId="5CCA71B1" w14:textId="77777777" w:rsidR="00EB1053" w:rsidRDefault="00EB1053" w:rsidP="00EB1053">
      <w:pPr>
        <w:pStyle w:val="ad"/>
        <w:numPr>
          <w:ilvl w:val="0"/>
          <w:numId w:val="1"/>
        </w:numPr>
        <w:spacing w:line="360" w:lineRule="auto"/>
        <w:jc w:val="both"/>
        <w:rPr>
          <w:rFonts w:ascii="Arial" w:hAnsi="Arial"/>
        </w:rPr>
      </w:pPr>
      <w:r>
        <w:rPr>
          <w:rFonts w:ascii="Arial" w:hAnsi="Arial"/>
          <w:rtl/>
        </w:rPr>
        <w:t>בחודש 1/21 נפרדו דרכיהם של הצדדים. לאחר פירוד זה פנו הצדדים להליך גישור אשר לא צלח כנראה מאחר ובין הצדדים התעוררו מחלוקות הקשורות לפרשנות הסכם ממון אשר נחתם על ידי הצדדים.</w:t>
      </w:r>
    </w:p>
    <w:p w14:paraId="5D788484" w14:textId="5105A4DF" w:rsidR="00EB1053" w:rsidRDefault="00EB1053" w:rsidP="00EB1053">
      <w:pPr>
        <w:pStyle w:val="ad"/>
        <w:numPr>
          <w:ilvl w:val="0"/>
          <w:numId w:val="1"/>
        </w:numPr>
        <w:spacing w:line="360" w:lineRule="auto"/>
        <w:jc w:val="both"/>
        <w:rPr>
          <w:rFonts w:ascii="Arial" w:hAnsi="Arial"/>
        </w:rPr>
      </w:pPr>
      <w:r>
        <w:rPr>
          <w:rFonts w:ascii="Arial" w:hAnsi="Arial"/>
          <w:rtl/>
        </w:rPr>
        <w:t>כבר לאחר הפירוד בין הצדדים האם נשארה לגור בנכס ב"</w:t>
      </w:r>
      <w:r w:rsidR="0024150E">
        <w:rPr>
          <w:rFonts w:ascii="Arial" w:hAnsi="Arial" w:hint="cs"/>
          <w:rtl/>
        </w:rPr>
        <w:t>---</w:t>
      </w:r>
      <w:r>
        <w:rPr>
          <w:rFonts w:ascii="Arial" w:hAnsi="Arial"/>
          <w:rtl/>
        </w:rPr>
        <w:t xml:space="preserve">" מתוקף היותה חברת האגודה החקלאית ואילו האב </w:t>
      </w:r>
      <w:r>
        <w:rPr>
          <w:rFonts w:ascii="Arial" w:hAnsi="Arial" w:hint="cs"/>
          <w:rtl/>
        </w:rPr>
        <w:t xml:space="preserve">עבר </w:t>
      </w:r>
      <w:r>
        <w:rPr>
          <w:rFonts w:ascii="Arial" w:hAnsi="Arial"/>
          <w:rtl/>
        </w:rPr>
        <w:t xml:space="preserve">להתגורר בדירה שכורה. </w:t>
      </w:r>
    </w:p>
    <w:p w14:paraId="7380A766" w14:textId="302A3AF2" w:rsidR="00EB1053" w:rsidRDefault="00EB1053" w:rsidP="00EB1053">
      <w:pPr>
        <w:pStyle w:val="ad"/>
        <w:numPr>
          <w:ilvl w:val="0"/>
          <w:numId w:val="1"/>
        </w:numPr>
        <w:spacing w:line="360" w:lineRule="auto"/>
        <w:jc w:val="both"/>
        <w:rPr>
          <w:rFonts w:ascii="Arial" w:hAnsi="Arial"/>
        </w:rPr>
      </w:pPr>
      <w:r>
        <w:rPr>
          <w:rFonts w:ascii="Arial" w:hAnsi="Arial"/>
          <w:rtl/>
        </w:rPr>
        <w:t xml:space="preserve">הסכם הממון נחתם על ידי הצדדים חודשים אחדים לאחר הנישואין, ואף אושר וקיבל תוקף של פסק דין ביום 1.7.12 בבית המשפט לענייני משפחה </w:t>
      </w:r>
      <w:r w:rsidR="004033A8">
        <w:rPr>
          <w:rFonts w:ascii="Arial" w:hAnsi="Arial" w:hint="cs"/>
          <w:rtl/>
        </w:rPr>
        <w:t>ב---</w:t>
      </w:r>
      <w:r>
        <w:rPr>
          <w:rFonts w:ascii="Arial" w:hAnsi="Arial"/>
          <w:rtl/>
        </w:rPr>
        <w:t xml:space="preserve">, ולעניין זה תהא התייחסות בהמשך פסק הדין. </w:t>
      </w:r>
    </w:p>
    <w:p w14:paraId="29A2E007" w14:textId="4DFDBDBD" w:rsidR="00EB1053" w:rsidRDefault="00EB1053" w:rsidP="00EB1053">
      <w:pPr>
        <w:pStyle w:val="ad"/>
        <w:numPr>
          <w:ilvl w:val="0"/>
          <w:numId w:val="1"/>
        </w:numPr>
        <w:spacing w:line="360" w:lineRule="auto"/>
        <w:jc w:val="both"/>
        <w:rPr>
          <w:rFonts w:ascii="Arial" w:hAnsi="Arial"/>
        </w:rPr>
      </w:pPr>
      <w:r>
        <w:rPr>
          <w:rFonts w:ascii="Arial" w:hAnsi="Arial"/>
          <w:rtl/>
        </w:rPr>
        <w:t xml:space="preserve">ביום 9.1.23 הגיעו הצדדים להסכם גירושין חלקי </w:t>
      </w:r>
      <w:r w:rsidR="00384D27">
        <w:rPr>
          <w:rFonts w:ascii="Arial" w:hAnsi="Arial" w:hint="cs"/>
          <w:rtl/>
        </w:rPr>
        <w:t>ש</w:t>
      </w:r>
      <w:r>
        <w:rPr>
          <w:rFonts w:ascii="Arial" w:hAnsi="Arial"/>
          <w:rtl/>
        </w:rPr>
        <w:t>בו הוסדר נושא איזון המשאבים בין הצדדים.</w:t>
      </w:r>
    </w:p>
    <w:p w14:paraId="68793CA4" w14:textId="2C5A0827" w:rsidR="00EB1053" w:rsidRDefault="00EB1053" w:rsidP="00EB1053">
      <w:pPr>
        <w:pStyle w:val="ad"/>
        <w:numPr>
          <w:ilvl w:val="0"/>
          <w:numId w:val="1"/>
        </w:numPr>
        <w:spacing w:line="360" w:lineRule="auto"/>
        <w:jc w:val="both"/>
        <w:rPr>
          <w:rFonts w:ascii="Arial" w:hAnsi="Arial"/>
        </w:rPr>
      </w:pPr>
      <w:r>
        <w:rPr>
          <w:rFonts w:ascii="Arial" w:hAnsi="Arial"/>
          <w:rtl/>
        </w:rPr>
        <w:lastRenderedPageBreak/>
        <w:t xml:space="preserve">על פי הסכם הגירושין החלקי האם נותרה הבעלים </w:t>
      </w:r>
      <w:r>
        <w:rPr>
          <w:rFonts w:ascii="Arial" w:hAnsi="Arial" w:hint="cs"/>
          <w:rtl/>
        </w:rPr>
        <w:t xml:space="preserve">היחידי </w:t>
      </w:r>
      <w:r>
        <w:rPr>
          <w:rFonts w:ascii="Arial" w:hAnsi="Arial"/>
          <w:rtl/>
        </w:rPr>
        <w:t>של הנכס במושב "</w:t>
      </w:r>
      <w:r w:rsidR="009706D5">
        <w:rPr>
          <w:rFonts w:ascii="Arial" w:hAnsi="Arial" w:hint="cs"/>
          <w:rtl/>
        </w:rPr>
        <w:t>---</w:t>
      </w:r>
      <w:r>
        <w:rPr>
          <w:rFonts w:ascii="Arial" w:hAnsi="Arial"/>
          <w:rtl/>
        </w:rPr>
        <w:t xml:space="preserve">" הרשום על שמה, והאב נשאר הבעלים של העסק </w:t>
      </w:r>
      <w:r>
        <w:rPr>
          <w:rFonts w:ascii="Arial" w:hAnsi="Arial" w:hint="cs"/>
          <w:rtl/>
        </w:rPr>
        <w:t>בשם "</w:t>
      </w:r>
      <w:r w:rsidR="009706D5">
        <w:rPr>
          <w:rFonts w:ascii="Arial" w:hAnsi="Arial" w:hint="cs"/>
          <w:rtl/>
        </w:rPr>
        <w:t>---</w:t>
      </w:r>
      <w:r>
        <w:rPr>
          <w:rFonts w:ascii="Arial" w:hAnsi="Arial" w:hint="cs"/>
          <w:rtl/>
        </w:rPr>
        <w:t xml:space="preserve">" </w:t>
      </w:r>
      <w:r>
        <w:rPr>
          <w:rFonts w:ascii="Arial" w:hAnsi="Arial"/>
          <w:rtl/>
        </w:rPr>
        <w:t>שהקים במהלך תקופת הנישואין הרשום על שמו לרבות הרכב ה</w:t>
      </w:r>
      <w:r w:rsidR="00384D27">
        <w:rPr>
          <w:rFonts w:ascii="Arial" w:hAnsi="Arial"/>
          <w:rtl/>
        </w:rPr>
        <w:t xml:space="preserve">מסחרי שנרכש לצורך עסק זה, וזאת </w:t>
      </w:r>
      <w:r>
        <w:rPr>
          <w:rFonts w:ascii="Arial" w:hAnsi="Arial"/>
          <w:rtl/>
        </w:rPr>
        <w:t>כפוף להפטר האם מההלוואה שנלקחה מחשבונה לצורך רכישת הרכב</w:t>
      </w:r>
      <w:r>
        <w:rPr>
          <w:rFonts w:ascii="Arial" w:hAnsi="Arial" w:hint="cs"/>
          <w:rtl/>
        </w:rPr>
        <w:t xml:space="preserve"> המסחרי</w:t>
      </w:r>
      <w:r>
        <w:rPr>
          <w:rFonts w:ascii="Arial" w:hAnsi="Arial"/>
          <w:rtl/>
        </w:rPr>
        <w:t xml:space="preserve">, ואילו הוסכם כי הרכב המשותף הנוסף יימכר והצדדים יחלקו בשווי תמורתו. </w:t>
      </w:r>
    </w:p>
    <w:p w14:paraId="0E184017" w14:textId="77777777" w:rsidR="00EB1053" w:rsidRDefault="00EB1053" w:rsidP="00EB1053">
      <w:pPr>
        <w:spacing w:line="360" w:lineRule="auto"/>
        <w:jc w:val="both"/>
        <w:rPr>
          <w:rFonts w:ascii="Arial" w:hAnsi="Arial"/>
          <w:b/>
          <w:bCs/>
        </w:rPr>
      </w:pPr>
      <w:r>
        <w:rPr>
          <w:rFonts w:ascii="Arial" w:hAnsi="Arial" w:hint="cs"/>
          <w:b/>
          <w:bCs/>
          <w:rtl/>
        </w:rPr>
        <w:t>טענות הצדדים</w:t>
      </w:r>
    </w:p>
    <w:p w14:paraId="535F6408" w14:textId="77777777" w:rsidR="00EB1053" w:rsidRDefault="00EB1053" w:rsidP="00EB1053">
      <w:pPr>
        <w:pStyle w:val="ad"/>
        <w:numPr>
          <w:ilvl w:val="0"/>
          <w:numId w:val="2"/>
        </w:numPr>
        <w:spacing w:line="360" w:lineRule="auto"/>
        <w:jc w:val="both"/>
        <w:rPr>
          <w:rFonts w:ascii="Arial" w:hAnsi="Arial"/>
          <w:b/>
          <w:bCs/>
          <w:rtl/>
        </w:rPr>
      </w:pPr>
      <w:r>
        <w:rPr>
          <w:rFonts w:ascii="Arial" w:hAnsi="Arial"/>
          <w:b/>
          <w:bCs/>
          <w:rtl/>
        </w:rPr>
        <w:t>טענות האם ועתירותיה בכתבי טענותיה</w:t>
      </w:r>
    </w:p>
    <w:p w14:paraId="0D8D7128" w14:textId="77777777" w:rsidR="00EB1053" w:rsidRDefault="00EB1053" w:rsidP="00EB1053">
      <w:pPr>
        <w:pStyle w:val="ad"/>
        <w:spacing w:line="360" w:lineRule="auto"/>
        <w:ind w:left="1080"/>
        <w:jc w:val="both"/>
        <w:rPr>
          <w:rFonts w:ascii="Arial" w:hAnsi="Arial"/>
          <w:b/>
          <w:bCs/>
        </w:rPr>
      </w:pPr>
    </w:p>
    <w:p w14:paraId="063AD4BD" w14:textId="77777777" w:rsidR="00EB1053" w:rsidRDefault="00EB1053" w:rsidP="00EB1053">
      <w:pPr>
        <w:spacing w:line="360" w:lineRule="auto"/>
        <w:ind w:left="720" w:firstLine="720"/>
        <w:jc w:val="both"/>
        <w:rPr>
          <w:rFonts w:ascii="Arial" w:hAnsi="Arial"/>
          <w:b/>
          <w:bCs/>
        </w:rPr>
      </w:pPr>
      <w:r>
        <w:rPr>
          <w:rFonts w:ascii="Arial" w:hAnsi="Arial" w:hint="cs"/>
          <w:b/>
          <w:bCs/>
          <w:rtl/>
        </w:rPr>
        <w:t>עתירות האם במסגרת תביעותיה</w:t>
      </w:r>
    </w:p>
    <w:p w14:paraId="1A001BE6" w14:textId="77777777" w:rsidR="00EB1053" w:rsidRDefault="00EB1053" w:rsidP="00EB1053">
      <w:pPr>
        <w:pStyle w:val="ad"/>
        <w:numPr>
          <w:ilvl w:val="0"/>
          <w:numId w:val="1"/>
        </w:numPr>
        <w:spacing w:line="360" w:lineRule="auto"/>
        <w:jc w:val="both"/>
        <w:rPr>
          <w:rFonts w:ascii="Arial" w:hAnsi="Arial"/>
        </w:rPr>
      </w:pPr>
      <w:r>
        <w:rPr>
          <w:rFonts w:ascii="Arial" w:hAnsi="Arial"/>
          <w:rtl/>
        </w:rPr>
        <w:t>לטענת האם היא ההורה העיקרי – גם בימי השהות של הקטינים עם אביהם.</w:t>
      </w:r>
    </w:p>
    <w:p w14:paraId="113AF3BD" w14:textId="77777777" w:rsidR="00EB1053" w:rsidRDefault="00EB1053" w:rsidP="00EB1053">
      <w:pPr>
        <w:pStyle w:val="ad"/>
        <w:numPr>
          <w:ilvl w:val="0"/>
          <w:numId w:val="1"/>
        </w:numPr>
        <w:spacing w:line="360" w:lineRule="auto"/>
        <w:jc w:val="both"/>
        <w:rPr>
          <w:rFonts w:ascii="Arial" w:hAnsi="Arial"/>
        </w:rPr>
      </w:pPr>
      <w:r>
        <w:rPr>
          <w:rFonts w:ascii="Arial" w:hAnsi="Arial"/>
          <w:rtl/>
        </w:rPr>
        <w:t>האם מקבלת כיום את קצבת התלויים של הקטינים מקצבת הנכות של האב.</w:t>
      </w:r>
    </w:p>
    <w:p w14:paraId="1DA56172" w14:textId="32BA2F79" w:rsidR="00EB1053" w:rsidRDefault="00EB1053" w:rsidP="00EB1053">
      <w:pPr>
        <w:pStyle w:val="ad"/>
        <w:numPr>
          <w:ilvl w:val="0"/>
          <w:numId w:val="1"/>
        </w:numPr>
        <w:spacing w:line="360" w:lineRule="auto"/>
        <w:jc w:val="both"/>
        <w:rPr>
          <w:rFonts w:ascii="Arial" w:hAnsi="Arial"/>
        </w:rPr>
      </w:pPr>
      <w:r>
        <w:rPr>
          <w:rFonts w:ascii="Arial" w:hAnsi="Arial"/>
          <w:rtl/>
        </w:rPr>
        <w:t>האם עתרה לחייב את האב מעבר לסכומים אלה – השייכים לטענתה לקטינים ללא קשר לאב – בסך של 4</w:t>
      </w:r>
      <w:r w:rsidR="00384D27">
        <w:rPr>
          <w:rFonts w:ascii="Arial" w:hAnsi="Arial" w:hint="cs"/>
          <w:rtl/>
        </w:rPr>
        <w:t>,</w:t>
      </w:r>
      <w:r>
        <w:rPr>
          <w:rFonts w:ascii="Arial" w:hAnsi="Arial"/>
          <w:rtl/>
        </w:rPr>
        <w:t xml:space="preserve">390 ₪ עבור </w:t>
      </w:r>
      <w:r w:rsidR="00370CB5">
        <w:rPr>
          <w:rFonts w:ascii="Arial" w:hAnsi="Arial" w:hint="cs"/>
          <w:rtl/>
        </w:rPr>
        <w:t>---</w:t>
      </w:r>
      <w:r>
        <w:rPr>
          <w:rFonts w:ascii="Arial" w:hAnsi="Arial"/>
          <w:rtl/>
        </w:rPr>
        <w:t xml:space="preserve"> וסך של 4</w:t>
      </w:r>
      <w:r w:rsidR="00384D27">
        <w:rPr>
          <w:rFonts w:ascii="Arial" w:hAnsi="Arial" w:hint="cs"/>
          <w:rtl/>
        </w:rPr>
        <w:t>,</w:t>
      </w:r>
      <w:r>
        <w:rPr>
          <w:rFonts w:ascii="Arial" w:hAnsi="Arial"/>
          <w:rtl/>
        </w:rPr>
        <w:t xml:space="preserve">290 ₪ עבור </w:t>
      </w:r>
      <w:r w:rsidR="00370CB5">
        <w:rPr>
          <w:rFonts w:ascii="Arial" w:hAnsi="Arial" w:hint="cs"/>
          <w:rtl/>
        </w:rPr>
        <w:t>---</w:t>
      </w:r>
      <w:r>
        <w:rPr>
          <w:rFonts w:ascii="Arial" w:hAnsi="Arial"/>
          <w:rtl/>
        </w:rPr>
        <w:t xml:space="preserve"> וכן הוצאות מדור ונסיעות בסך של 3</w:t>
      </w:r>
      <w:r w:rsidR="00384D27">
        <w:rPr>
          <w:rFonts w:ascii="Arial" w:hAnsi="Arial" w:hint="cs"/>
          <w:rtl/>
        </w:rPr>
        <w:t>,</w:t>
      </w:r>
      <w:r>
        <w:rPr>
          <w:rFonts w:ascii="Arial" w:hAnsi="Arial"/>
          <w:rtl/>
        </w:rPr>
        <w:t>140 ₪ כפי שפירטה בכתב תביעתה.</w:t>
      </w:r>
    </w:p>
    <w:p w14:paraId="6C980656" w14:textId="77777777" w:rsidR="00EB1053" w:rsidRDefault="00EB1053" w:rsidP="00EB1053">
      <w:pPr>
        <w:pStyle w:val="ad"/>
        <w:numPr>
          <w:ilvl w:val="0"/>
          <w:numId w:val="1"/>
        </w:numPr>
        <w:spacing w:line="360" w:lineRule="auto"/>
        <w:jc w:val="both"/>
        <w:rPr>
          <w:rFonts w:ascii="Arial" w:hAnsi="Arial"/>
          <w:b/>
          <w:bCs/>
        </w:rPr>
      </w:pPr>
      <w:r>
        <w:rPr>
          <w:rFonts w:ascii="Arial" w:hAnsi="Arial"/>
          <w:rtl/>
        </w:rPr>
        <w:t>בנוסף, עתרה האם לחייב את האב ב</w:t>
      </w:r>
      <w:r w:rsidRPr="00384D27">
        <w:rPr>
          <w:rFonts w:ascii="Arial" w:hAnsi="Arial"/>
          <w:rtl/>
        </w:rPr>
        <w:t>"</w:t>
      </w:r>
      <w:r w:rsidRPr="00384D27">
        <w:rPr>
          <w:rFonts w:ascii="Arial" w:hAnsi="Arial"/>
          <w:b/>
          <w:bCs/>
          <w:rtl/>
        </w:rPr>
        <w:t>כ</w:t>
      </w:r>
      <w:r>
        <w:rPr>
          <w:rFonts w:ascii="Arial" w:hAnsi="Arial"/>
          <w:b/>
          <w:bCs/>
          <w:rtl/>
        </w:rPr>
        <w:t>ל הוצאה גדולה וחד-פעמית של הקטינים בתחום בריאות ורפואה</w:t>
      </w:r>
      <w:r w:rsidRPr="00384D27">
        <w:rPr>
          <w:rFonts w:ascii="Arial" w:hAnsi="Arial"/>
          <w:rtl/>
        </w:rPr>
        <w:t xml:space="preserve">". </w:t>
      </w:r>
    </w:p>
    <w:p w14:paraId="1F380CBA" w14:textId="77777777" w:rsidR="00EB1053" w:rsidRDefault="00EB1053" w:rsidP="00EB1053">
      <w:pPr>
        <w:pStyle w:val="ad"/>
        <w:numPr>
          <w:ilvl w:val="0"/>
          <w:numId w:val="1"/>
        </w:numPr>
        <w:spacing w:line="360" w:lineRule="auto"/>
        <w:jc w:val="both"/>
        <w:rPr>
          <w:rFonts w:ascii="Arial" w:hAnsi="Arial"/>
        </w:rPr>
      </w:pPr>
      <w:r>
        <w:rPr>
          <w:rFonts w:ascii="Arial" w:hAnsi="Arial"/>
          <w:rtl/>
        </w:rPr>
        <w:t xml:space="preserve">האם עותרת לחייב את האב </w:t>
      </w:r>
      <w:r>
        <w:rPr>
          <w:rFonts w:ascii="Arial" w:hAnsi="Arial" w:hint="cs"/>
          <w:rtl/>
        </w:rPr>
        <w:t>ב</w:t>
      </w:r>
      <w:r>
        <w:rPr>
          <w:rFonts w:ascii="Arial" w:hAnsi="Arial"/>
          <w:rtl/>
        </w:rPr>
        <w:t xml:space="preserve">המשך מעקב פסיכיאטרי, וזאת גם לאור העובדה כי האב עדיין מוכר כנכה במסגרת המל"ל – ולא פנה לביטול הכרתו זו. </w:t>
      </w:r>
    </w:p>
    <w:p w14:paraId="444CFC3C" w14:textId="77777777" w:rsidR="00EB1053" w:rsidRDefault="00EB1053" w:rsidP="00EB1053">
      <w:pPr>
        <w:pStyle w:val="ad"/>
        <w:numPr>
          <w:ilvl w:val="0"/>
          <w:numId w:val="1"/>
        </w:numPr>
        <w:spacing w:line="360" w:lineRule="auto"/>
        <w:jc w:val="both"/>
        <w:rPr>
          <w:rFonts w:ascii="Arial" w:hAnsi="Arial"/>
        </w:rPr>
      </w:pPr>
      <w:r>
        <w:rPr>
          <w:rFonts w:ascii="Arial" w:hAnsi="Arial"/>
          <w:rtl/>
        </w:rPr>
        <w:lastRenderedPageBreak/>
        <w:t>לבסוף, עתרה האם להצמדת המזונות ולחייב את האב בהוצאות משפט לדוגמא.</w:t>
      </w:r>
    </w:p>
    <w:p w14:paraId="58755A45" w14:textId="77777777" w:rsidR="00EB1053" w:rsidRDefault="00EB1053" w:rsidP="00EB1053">
      <w:pPr>
        <w:spacing w:line="360" w:lineRule="auto"/>
        <w:ind w:left="720" w:firstLine="720"/>
        <w:jc w:val="both"/>
        <w:rPr>
          <w:rFonts w:ascii="Arial" w:hAnsi="Arial"/>
          <w:b/>
          <w:bCs/>
        </w:rPr>
      </w:pPr>
      <w:r>
        <w:rPr>
          <w:rFonts w:ascii="Arial" w:hAnsi="Arial" w:hint="cs"/>
          <w:b/>
          <w:bCs/>
          <w:rtl/>
        </w:rPr>
        <w:t>זמני השהות עם האב</w:t>
      </w:r>
    </w:p>
    <w:p w14:paraId="2914E60E" w14:textId="77777777" w:rsidR="00EB1053" w:rsidRDefault="00EB1053" w:rsidP="00EB1053">
      <w:pPr>
        <w:pStyle w:val="ad"/>
        <w:numPr>
          <w:ilvl w:val="0"/>
          <w:numId w:val="1"/>
        </w:numPr>
        <w:spacing w:line="360" w:lineRule="auto"/>
        <w:jc w:val="both"/>
        <w:rPr>
          <w:rFonts w:ascii="Arial" w:hAnsi="Arial"/>
        </w:rPr>
      </w:pPr>
      <w:r>
        <w:rPr>
          <w:rFonts w:ascii="Arial" w:hAnsi="Arial"/>
          <w:rtl/>
        </w:rPr>
        <w:t xml:space="preserve">האם מפנה לשלושת התסקירים שהוגשו על ידי מחלקת הרווחה ולעובדה כי האב ניתק קשר עם הפסיכיאטר מאחר וחש כי אין צורך בקשר זה ללא התייחסות של העו"ס לסוגיה </w:t>
      </w:r>
      <w:r>
        <w:rPr>
          <w:rFonts w:ascii="Arial" w:hAnsi="Arial" w:hint="cs"/>
          <w:rtl/>
        </w:rPr>
        <w:t xml:space="preserve">זו </w:t>
      </w:r>
      <w:r>
        <w:rPr>
          <w:rFonts w:ascii="Arial" w:hAnsi="Arial"/>
          <w:rtl/>
        </w:rPr>
        <w:t xml:space="preserve">וכן לטענות האם שלא זכו להתייחסות לגבי התנהלות האב בזמני השהות עם הקטינים. </w:t>
      </w:r>
    </w:p>
    <w:p w14:paraId="21CA6A86" w14:textId="77777777" w:rsidR="00EB1053" w:rsidRDefault="00EB1053" w:rsidP="00EB1053">
      <w:pPr>
        <w:pStyle w:val="ad"/>
        <w:spacing w:line="360" w:lineRule="auto"/>
        <w:ind w:firstLine="720"/>
        <w:jc w:val="both"/>
        <w:rPr>
          <w:rFonts w:ascii="Arial" w:hAnsi="Arial"/>
          <w:b/>
          <w:bCs/>
        </w:rPr>
      </w:pPr>
      <w:r>
        <w:rPr>
          <w:rFonts w:ascii="Arial" w:hAnsi="Arial"/>
          <w:b/>
          <w:bCs/>
          <w:rtl/>
        </w:rPr>
        <w:t>הכנסות האם ומצבה הכלכלי</w:t>
      </w:r>
    </w:p>
    <w:p w14:paraId="6D655C6F" w14:textId="77777777" w:rsidR="00EB1053" w:rsidRDefault="00EB1053" w:rsidP="00EB1053">
      <w:pPr>
        <w:pStyle w:val="ad"/>
        <w:numPr>
          <w:ilvl w:val="0"/>
          <w:numId w:val="1"/>
        </w:numPr>
        <w:spacing w:line="360" w:lineRule="auto"/>
        <w:jc w:val="both"/>
        <w:rPr>
          <w:rFonts w:ascii="Arial" w:hAnsi="Arial"/>
          <w:rtl/>
        </w:rPr>
      </w:pPr>
      <w:r>
        <w:rPr>
          <w:rFonts w:ascii="Arial" w:hAnsi="Arial"/>
          <w:rtl/>
        </w:rPr>
        <w:t xml:space="preserve">אין בסיכומי האם כל התייחסות למצבה הכלכלי, אלא התייחסות להכנסות הצדדים בלבד. </w:t>
      </w:r>
    </w:p>
    <w:p w14:paraId="649812A5" w14:textId="77777777" w:rsidR="00EB1053" w:rsidRDefault="00EB1053" w:rsidP="00EB1053">
      <w:pPr>
        <w:pStyle w:val="ad"/>
        <w:numPr>
          <w:ilvl w:val="0"/>
          <w:numId w:val="1"/>
        </w:numPr>
        <w:spacing w:line="360" w:lineRule="auto"/>
        <w:jc w:val="both"/>
        <w:rPr>
          <w:rFonts w:ascii="Arial" w:hAnsi="Arial"/>
        </w:rPr>
      </w:pPr>
      <w:r>
        <w:rPr>
          <w:rFonts w:ascii="Arial" w:hAnsi="Arial"/>
          <w:rtl/>
        </w:rPr>
        <w:t xml:space="preserve">לטענת האם, היא עבדה בעבר כטבחית, בתקופת מגפת הקורונה קיבלה תשלומים בגין דמי אבטלה בסך של 5,200 ₪ לחודש, וכיום משתכרת סך ממוצע של 6,000 ₪ לחודש והינה עובדת שעתית. (לסיכומיה צירפה האם העתקי תלושי שכר אחרונים). </w:t>
      </w:r>
    </w:p>
    <w:p w14:paraId="39103BC1" w14:textId="77777777" w:rsidR="00EB1053" w:rsidRDefault="00EB1053" w:rsidP="00EB1053">
      <w:pPr>
        <w:pStyle w:val="ad"/>
        <w:numPr>
          <w:ilvl w:val="0"/>
          <w:numId w:val="1"/>
        </w:numPr>
        <w:spacing w:line="360" w:lineRule="auto"/>
        <w:jc w:val="both"/>
        <w:rPr>
          <w:rFonts w:ascii="Arial" w:hAnsi="Arial"/>
        </w:rPr>
      </w:pPr>
      <w:r>
        <w:rPr>
          <w:rFonts w:ascii="Arial" w:hAnsi="Arial"/>
          <w:rtl/>
        </w:rPr>
        <w:t xml:space="preserve">מוסכם כי האם עברה פעמיים הליך פונדקאות במהלך החיים המשותפים בין הצדדים.  </w:t>
      </w:r>
    </w:p>
    <w:p w14:paraId="3ED11F99" w14:textId="77777777" w:rsidR="00EB1053" w:rsidRDefault="00EB1053" w:rsidP="00EB1053">
      <w:pPr>
        <w:pStyle w:val="ad"/>
        <w:spacing w:line="360" w:lineRule="auto"/>
        <w:ind w:firstLine="720"/>
        <w:jc w:val="both"/>
        <w:rPr>
          <w:rFonts w:ascii="Arial" w:hAnsi="Arial"/>
          <w:b/>
          <w:bCs/>
        </w:rPr>
      </w:pPr>
      <w:r>
        <w:rPr>
          <w:rFonts w:ascii="Arial" w:hAnsi="Arial"/>
          <w:b/>
          <w:bCs/>
          <w:rtl/>
        </w:rPr>
        <w:t>הכנסות האב</w:t>
      </w:r>
    </w:p>
    <w:p w14:paraId="77B60B2B" w14:textId="60054571" w:rsidR="00EB1053" w:rsidRDefault="00EB1053" w:rsidP="00384D27">
      <w:pPr>
        <w:pStyle w:val="ad"/>
        <w:numPr>
          <w:ilvl w:val="0"/>
          <w:numId w:val="1"/>
        </w:numPr>
        <w:spacing w:line="360" w:lineRule="auto"/>
        <w:jc w:val="both"/>
        <w:rPr>
          <w:rFonts w:ascii="Arial" w:hAnsi="Arial"/>
        </w:rPr>
      </w:pPr>
      <w:r>
        <w:rPr>
          <w:rFonts w:ascii="Arial" w:hAnsi="Arial"/>
          <w:rtl/>
        </w:rPr>
        <w:t>לטענת האם הכנסותיו של האב הן כ- 6,000 ₪ לחודש מקצבת נכות מאת המל"ל בגין מחלת ה</w:t>
      </w:r>
      <w:r w:rsidR="00384D27">
        <w:rPr>
          <w:rFonts w:ascii="Arial" w:hAnsi="Arial" w:hint="cs"/>
          <w:rtl/>
        </w:rPr>
        <w:t>______</w:t>
      </w:r>
      <w:r>
        <w:rPr>
          <w:rFonts w:ascii="Arial" w:hAnsi="Arial"/>
          <w:rtl/>
        </w:rPr>
        <w:t xml:space="preserve"> ממנה סובל, וכן סכומים נוספים וחלקם במזומן מעסק שהוקם על ידו במהלך הנישואין, עסק למכירת ציוד </w:t>
      </w:r>
      <w:r w:rsidR="006906D2">
        <w:rPr>
          <w:rFonts w:ascii="Arial" w:hAnsi="Arial" w:hint="cs"/>
          <w:rtl/>
        </w:rPr>
        <w:t>ל---</w:t>
      </w:r>
      <w:r>
        <w:rPr>
          <w:rFonts w:ascii="Arial" w:hAnsi="Arial"/>
          <w:rtl/>
        </w:rPr>
        <w:t xml:space="preserve"> תעשייתיים ומתן שירות תיקונים לציוד זה. </w:t>
      </w:r>
    </w:p>
    <w:p w14:paraId="1DD7619E" w14:textId="77777777" w:rsidR="00EB1053" w:rsidRDefault="00EB1053" w:rsidP="00EB1053">
      <w:pPr>
        <w:pStyle w:val="ad"/>
        <w:numPr>
          <w:ilvl w:val="0"/>
          <w:numId w:val="1"/>
        </w:numPr>
        <w:spacing w:line="360" w:lineRule="auto"/>
        <w:jc w:val="both"/>
        <w:rPr>
          <w:rFonts w:ascii="Arial" w:hAnsi="Arial"/>
        </w:rPr>
      </w:pPr>
      <w:r>
        <w:rPr>
          <w:rFonts w:ascii="Arial" w:hAnsi="Arial"/>
          <w:rtl/>
        </w:rPr>
        <w:t xml:space="preserve">כפי שפורט לעיל, עם גירושי הצדדים נשאר העסק על ציודו בבעלות האב לרבות רכב בעלות של 250,000 ₪ שנרכש מהלוואה שנלקחה מחשבון האם וכן רכב משפחתי שנשאר אף הוא ברשות האב אולם למרות שעל פי ההסכם זכאית למחצית שווי הרכב הנוסף. </w:t>
      </w:r>
    </w:p>
    <w:p w14:paraId="6AC89A93" w14:textId="17074E7D" w:rsidR="00EB1053" w:rsidRDefault="00EB1053" w:rsidP="00EB1053">
      <w:pPr>
        <w:pStyle w:val="ad"/>
        <w:numPr>
          <w:ilvl w:val="0"/>
          <w:numId w:val="1"/>
        </w:numPr>
        <w:spacing w:line="360" w:lineRule="auto"/>
        <w:jc w:val="both"/>
        <w:rPr>
          <w:rFonts w:ascii="Arial" w:hAnsi="Arial"/>
          <w:rtl/>
        </w:rPr>
      </w:pPr>
      <w:r>
        <w:rPr>
          <w:rFonts w:ascii="Arial" w:hAnsi="Arial"/>
          <w:rtl/>
        </w:rPr>
        <w:lastRenderedPageBreak/>
        <w:t>האם בכתבי טענותיה מציינת כי אינה יודעת להעריך את הסכומים אותם משתכר האב בגין עסקו  ואולם מציינת האם כי בזמן הנישואין היא נטלה הלוואה בסך של 250,000 ₪ מחשבונה ל</w:t>
      </w:r>
      <w:r w:rsidR="00384D27">
        <w:rPr>
          <w:rFonts w:ascii="Arial" w:hAnsi="Arial"/>
          <w:rtl/>
        </w:rPr>
        <w:t>רכישת רכב מסחרי משנת ייצור 2020</w:t>
      </w:r>
      <w:r>
        <w:rPr>
          <w:rFonts w:ascii="Arial" w:hAnsi="Arial"/>
          <w:rtl/>
        </w:rPr>
        <w:t xml:space="preserve">, ומציינת כי האב נושא כיום בהחזרים בגין הלוואה זו. </w:t>
      </w:r>
    </w:p>
    <w:p w14:paraId="2CDEF1BD" w14:textId="77777777" w:rsidR="00EB1053" w:rsidRDefault="00EB1053" w:rsidP="00EB1053">
      <w:pPr>
        <w:pStyle w:val="ad"/>
        <w:numPr>
          <w:ilvl w:val="0"/>
          <w:numId w:val="1"/>
        </w:numPr>
        <w:spacing w:line="360" w:lineRule="auto"/>
        <w:jc w:val="both"/>
        <w:rPr>
          <w:rFonts w:ascii="Arial" w:hAnsi="Arial"/>
        </w:rPr>
      </w:pPr>
      <w:r>
        <w:rPr>
          <w:rFonts w:ascii="Arial" w:hAnsi="Arial"/>
          <w:rtl/>
        </w:rPr>
        <w:t xml:space="preserve">מוסיפה האם כי במועד הפירוד בין הצדדים לקח עמו האב את הציוד העסקי בשבע עגלות נגררות, והודה בפניה כי בידיו סכום מזומן של 27,000 ₪ לא כולל יתרת הזכות בחשבונו העסקי. </w:t>
      </w:r>
    </w:p>
    <w:p w14:paraId="7FECAEB5" w14:textId="29B20D92" w:rsidR="00EB1053" w:rsidRDefault="00EB1053" w:rsidP="00EB1053">
      <w:pPr>
        <w:pStyle w:val="ad"/>
        <w:numPr>
          <w:ilvl w:val="0"/>
          <w:numId w:val="1"/>
        </w:numPr>
        <w:spacing w:line="360" w:lineRule="auto"/>
        <w:jc w:val="both"/>
        <w:rPr>
          <w:rFonts w:ascii="Arial" w:hAnsi="Arial"/>
        </w:rPr>
      </w:pPr>
      <w:r>
        <w:rPr>
          <w:rFonts w:ascii="Arial" w:hAnsi="Arial"/>
          <w:rtl/>
        </w:rPr>
        <w:t xml:space="preserve">בסעיף 16 לסיכומיה טוענת האם כי הכנסתו של האב הינה – על פי חישוב שלו עצמו סך של 12,000 ₪ - לא כולל שכר עבודה: </w:t>
      </w:r>
    </w:p>
    <w:p w14:paraId="35F747CC" w14:textId="77777777" w:rsidR="00EB1053" w:rsidRDefault="00EB1053" w:rsidP="00EB1053">
      <w:pPr>
        <w:pStyle w:val="ad"/>
        <w:numPr>
          <w:ilvl w:val="0"/>
          <w:numId w:val="3"/>
        </w:numPr>
        <w:spacing w:line="360" w:lineRule="auto"/>
        <w:jc w:val="both"/>
        <w:rPr>
          <w:rFonts w:ascii="Arial" w:hAnsi="Arial"/>
        </w:rPr>
      </w:pPr>
      <w:r>
        <w:rPr>
          <w:rFonts w:ascii="Arial" w:hAnsi="Arial"/>
          <w:rtl/>
        </w:rPr>
        <w:t>יתרת זכות של כ- 200,000 ₪ בחשבון העסקי (ראה דפי בנק שהומצאו ביום 8.6.22)</w:t>
      </w:r>
    </w:p>
    <w:p w14:paraId="6A8A2244" w14:textId="77777777" w:rsidR="00EB1053" w:rsidRDefault="00EB1053" w:rsidP="00EB1053">
      <w:pPr>
        <w:pStyle w:val="ad"/>
        <w:numPr>
          <w:ilvl w:val="0"/>
          <w:numId w:val="3"/>
        </w:numPr>
        <w:spacing w:line="360" w:lineRule="auto"/>
        <w:jc w:val="both"/>
        <w:rPr>
          <w:rFonts w:ascii="Arial" w:hAnsi="Arial"/>
        </w:rPr>
      </w:pPr>
      <w:r>
        <w:rPr>
          <w:rFonts w:ascii="Arial" w:hAnsi="Arial"/>
          <w:rtl/>
        </w:rPr>
        <w:t>מממן לעצמו פנסיה וחופשות ואף שכר דירה למגוריו בעלות של 4,600 ₪ לחודש.</w:t>
      </w:r>
    </w:p>
    <w:p w14:paraId="50517DA4" w14:textId="77777777" w:rsidR="00EB1053" w:rsidRDefault="00EB1053" w:rsidP="00EB1053">
      <w:pPr>
        <w:pStyle w:val="ad"/>
        <w:numPr>
          <w:ilvl w:val="0"/>
          <w:numId w:val="3"/>
        </w:numPr>
        <w:spacing w:line="360" w:lineRule="auto"/>
        <w:jc w:val="both"/>
        <w:rPr>
          <w:rFonts w:ascii="Arial" w:hAnsi="Arial"/>
        </w:rPr>
      </w:pPr>
      <w:r>
        <w:rPr>
          <w:rFonts w:ascii="Arial" w:hAnsi="Arial"/>
          <w:rtl/>
        </w:rPr>
        <w:t xml:space="preserve">הפנייה לחישוב האב עצמו לגבי הוצאותיו והכנסותיו לתקופה מחודש 12/21 עד 5/22 (נספח ב' לסיכומי האם). </w:t>
      </w:r>
    </w:p>
    <w:p w14:paraId="614DEED8" w14:textId="77777777" w:rsidR="00EB1053" w:rsidRDefault="00EB1053" w:rsidP="00EB1053">
      <w:pPr>
        <w:pStyle w:val="ad"/>
        <w:numPr>
          <w:ilvl w:val="0"/>
          <w:numId w:val="1"/>
        </w:numPr>
        <w:spacing w:line="360" w:lineRule="auto"/>
        <w:jc w:val="both"/>
        <w:rPr>
          <w:rFonts w:ascii="Arial" w:hAnsi="Arial"/>
        </w:rPr>
      </w:pPr>
      <w:r>
        <w:rPr>
          <w:rFonts w:ascii="Arial" w:hAnsi="Arial"/>
          <w:rtl/>
        </w:rPr>
        <w:t xml:space="preserve">מוסיפה האם כי האב מבצע עסקאות במזומן ולא מדווחות כפי שעולה מדו"ח חוקר שצורף לסיכומיה. </w:t>
      </w:r>
    </w:p>
    <w:p w14:paraId="05D0AE63" w14:textId="77777777" w:rsidR="00EB1053" w:rsidRDefault="00EB1053" w:rsidP="00EB1053">
      <w:pPr>
        <w:pStyle w:val="ad"/>
        <w:spacing w:line="360" w:lineRule="auto"/>
        <w:jc w:val="both"/>
        <w:rPr>
          <w:rFonts w:ascii="Arial" w:hAnsi="Arial"/>
        </w:rPr>
      </w:pPr>
    </w:p>
    <w:p w14:paraId="31BEBE3E" w14:textId="77777777" w:rsidR="00EB1053" w:rsidRDefault="00EB1053" w:rsidP="00EB1053">
      <w:pPr>
        <w:pStyle w:val="ad"/>
        <w:numPr>
          <w:ilvl w:val="0"/>
          <w:numId w:val="2"/>
        </w:numPr>
        <w:spacing w:line="360" w:lineRule="auto"/>
        <w:jc w:val="both"/>
        <w:rPr>
          <w:rFonts w:ascii="Arial" w:hAnsi="Arial"/>
          <w:b/>
          <w:bCs/>
          <w:u w:val="single"/>
        </w:rPr>
      </w:pPr>
      <w:r>
        <w:rPr>
          <w:rFonts w:ascii="Arial" w:hAnsi="Arial"/>
          <w:b/>
          <w:bCs/>
          <w:u w:val="single"/>
          <w:rtl/>
        </w:rPr>
        <w:t>טענות האב בכתבי טענותיו לרבות בסיכומיו</w:t>
      </w:r>
    </w:p>
    <w:p w14:paraId="7D9525CA" w14:textId="77777777" w:rsidR="00EB1053" w:rsidRDefault="00EB1053" w:rsidP="00EB1053">
      <w:pPr>
        <w:spacing w:line="360" w:lineRule="auto"/>
        <w:ind w:left="1080"/>
        <w:jc w:val="both"/>
        <w:rPr>
          <w:rFonts w:ascii="Arial" w:hAnsi="Arial"/>
          <w:b/>
          <w:bCs/>
        </w:rPr>
      </w:pPr>
      <w:r>
        <w:rPr>
          <w:rFonts w:ascii="Arial" w:hAnsi="Arial" w:hint="cs"/>
          <w:b/>
          <w:bCs/>
          <w:rtl/>
        </w:rPr>
        <w:t>עתירות האב</w:t>
      </w:r>
    </w:p>
    <w:p w14:paraId="5DD7AB58" w14:textId="77777777" w:rsidR="00EB1053" w:rsidRDefault="00EB1053" w:rsidP="00EB1053">
      <w:pPr>
        <w:pStyle w:val="ad"/>
        <w:numPr>
          <w:ilvl w:val="0"/>
          <w:numId w:val="1"/>
        </w:numPr>
        <w:spacing w:line="360" w:lineRule="auto"/>
        <w:jc w:val="both"/>
        <w:rPr>
          <w:rFonts w:ascii="Arial" w:hAnsi="Arial"/>
          <w:rtl/>
        </w:rPr>
      </w:pPr>
      <w:r>
        <w:rPr>
          <w:rFonts w:ascii="Arial" w:hAnsi="Arial"/>
          <w:rtl/>
        </w:rPr>
        <w:t xml:space="preserve">האב מפנה להחלטת בית המשפט מיום 22.3.23 במסגרתה העמיד בית המשפט את סכום המזונות על גובה קצבת התלויים המשולמת על ידי המוסד לביטוח לאומי במסגרת קצבת הנכות לו זכאי האב. </w:t>
      </w:r>
    </w:p>
    <w:p w14:paraId="35D53DA4" w14:textId="77777777" w:rsidR="00EB1053" w:rsidRDefault="00EB1053" w:rsidP="00EB1053">
      <w:pPr>
        <w:pStyle w:val="ad"/>
        <w:numPr>
          <w:ilvl w:val="0"/>
          <w:numId w:val="1"/>
        </w:numPr>
        <w:spacing w:line="360" w:lineRule="auto"/>
        <w:jc w:val="both"/>
        <w:rPr>
          <w:rFonts w:ascii="Arial" w:hAnsi="Arial"/>
        </w:rPr>
      </w:pPr>
      <w:r>
        <w:rPr>
          <w:rFonts w:ascii="Arial" w:hAnsi="Arial"/>
          <w:rtl/>
        </w:rPr>
        <w:lastRenderedPageBreak/>
        <w:t xml:space="preserve">האב עותר לקביעת חלוקה שווה של ההוצאות החריגות של הקטינים, תוך ביטול חיוב המזונות שנקבע בהחלטה הנ"ל, לאור זמני השהות של הקטינים עם אביהם שהם מחצית הזמן. </w:t>
      </w:r>
    </w:p>
    <w:p w14:paraId="50AA7AEB" w14:textId="77777777" w:rsidR="00EB1053" w:rsidRDefault="00EB1053" w:rsidP="00EB1053">
      <w:pPr>
        <w:pStyle w:val="ad"/>
        <w:spacing w:line="360" w:lineRule="auto"/>
        <w:ind w:left="1080" w:firstLine="360"/>
        <w:jc w:val="both"/>
        <w:rPr>
          <w:rFonts w:ascii="Arial" w:hAnsi="Arial"/>
          <w:b/>
          <w:bCs/>
        </w:rPr>
      </w:pPr>
      <w:r>
        <w:rPr>
          <w:rFonts w:ascii="Arial" w:hAnsi="Arial"/>
          <w:b/>
          <w:bCs/>
          <w:rtl/>
        </w:rPr>
        <w:t>קביעת זמני השהות של ההורים עם הקטינים</w:t>
      </w:r>
    </w:p>
    <w:p w14:paraId="373A6802" w14:textId="77777777" w:rsidR="00EB1053" w:rsidRDefault="00EB1053" w:rsidP="00EB1053">
      <w:pPr>
        <w:pStyle w:val="ad"/>
        <w:numPr>
          <w:ilvl w:val="0"/>
          <w:numId w:val="1"/>
        </w:numPr>
        <w:spacing w:line="360" w:lineRule="auto"/>
        <w:jc w:val="both"/>
        <w:rPr>
          <w:rFonts w:ascii="Arial" w:hAnsi="Arial"/>
        </w:rPr>
      </w:pPr>
      <w:r>
        <w:rPr>
          <w:rFonts w:ascii="Arial" w:hAnsi="Arial"/>
          <w:rtl/>
        </w:rPr>
        <w:t xml:space="preserve">לטענת האב כל מטרת האם לתאר אותו כמי שאינו מסוגל לגדל את ילדיו במטרה לזכות במזונות מופרזים והאב מפנה בסוגיה זו גם לתסקירי שירותי הרווחה וגם לעמדת האפוטרופוס לדין שמונתה בהליכים אלה.  </w:t>
      </w:r>
    </w:p>
    <w:p w14:paraId="56B4D803" w14:textId="70120866" w:rsidR="00EB1053" w:rsidRDefault="00EB1053" w:rsidP="00EB1053">
      <w:pPr>
        <w:pStyle w:val="ad"/>
        <w:numPr>
          <w:ilvl w:val="0"/>
          <w:numId w:val="1"/>
        </w:numPr>
        <w:spacing w:line="360" w:lineRule="auto"/>
        <w:jc w:val="both"/>
        <w:rPr>
          <w:rFonts w:ascii="Arial" w:hAnsi="Arial"/>
        </w:rPr>
      </w:pPr>
      <w:r>
        <w:rPr>
          <w:rFonts w:ascii="Arial" w:hAnsi="Arial"/>
          <w:rtl/>
        </w:rPr>
        <w:t>האב מפנה להמלצות להמשך קיומם של זמני שהות שווים של הקטינים עם כל אחד מההורים בד בבד עם המשך ההליך הטיפולי ב"</w:t>
      </w:r>
      <w:r w:rsidR="00A843B4">
        <w:rPr>
          <w:rFonts w:ascii="Arial" w:hAnsi="Arial" w:hint="cs"/>
          <w:rtl/>
        </w:rPr>
        <w:t>---</w:t>
      </w:r>
      <w:r>
        <w:rPr>
          <w:rFonts w:ascii="Arial" w:hAnsi="Arial"/>
          <w:rtl/>
        </w:rPr>
        <w:t xml:space="preserve">" ועל כן מורה על מתן פסק דין הקובע המשך קיומם של זמני שהות שווים בין </w:t>
      </w:r>
      <w:r w:rsidR="00333D32">
        <w:rPr>
          <w:rFonts w:ascii="Arial" w:hAnsi="Arial" w:hint="cs"/>
          <w:rtl/>
        </w:rPr>
        <w:t>ההורים</w:t>
      </w:r>
      <w:r>
        <w:rPr>
          <w:rFonts w:ascii="Arial" w:hAnsi="Arial"/>
          <w:rtl/>
        </w:rPr>
        <w:t xml:space="preserve">. </w:t>
      </w:r>
    </w:p>
    <w:p w14:paraId="72CFC946" w14:textId="77777777" w:rsidR="00EB1053" w:rsidRDefault="00EB1053" w:rsidP="00EB1053">
      <w:pPr>
        <w:spacing w:line="360" w:lineRule="auto"/>
        <w:ind w:left="720" w:firstLine="720"/>
        <w:jc w:val="both"/>
        <w:rPr>
          <w:rFonts w:ascii="Arial" w:hAnsi="Arial"/>
          <w:b/>
          <w:bCs/>
        </w:rPr>
      </w:pPr>
      <w:r>
        <w:rPr>
          <w:rFonts w:ascii="Arial" w:hAnsi="Arial" w:hint="cs"/>
          <w:b/>
          <w:bCs/>
          <w:rtl/>
        </w:rPr>
        <w:t>צרכי הקטינים</w:t>
      </w:r>
    </w:p>
    <w:p w14:paraId="286968A2" w14:textId="77777777" w:rsidR="00EB1053" w:rsidRDefault="00EB1053" w:rsidP="00EB1053">
      <w:pPr>
        <w:pStyle w:val="ad"/>
        <w:numPr>
          <w:ilvl w:val="0"/>
          <w:numId w:val="1"/>
        </w:numPr>
        <w:spacing w:line="360" w:lineRule="auto"/>
        <w:jc w:val="both"/>
        <w:rPr>
          <w:rFonts w:ascii="Arial" w:hAnsi="Arial"/>
        </w:rPr>
      </w:pPr>
      <w:r>
        <w:rPr>
          <w:rFonts w:ascii="Arial" w:hAnsi="Arial"/>
          <w:rtl/>
        </w:rPr>
        <w:t xml:space="preserve">לטענת האב הדרישות של האם מוגזמות ומופקעות וזאת ביתר שאת בהתחשב ברמת החיים של הצדדים בזמן הנישואים. </w:t>
      </w:r>
    </w:p>
    <w:p w14:paraId="6EDFDF66" w14:textId="77777777" w:rsidR="00EB1053" w:rsidRDefault="00EB1053" w:rsidP="00EB1053">
      <w:pPr>
        <w:pStyle w:val="ad"/>
        <w:spacing w:line="360" w:lineRule="auto"/>
        <w:jc w:val="both"/>
        <w:rPr>
          <w:rFonts w:ascii="Arial" w:hAnsi="Arial"/>
        </w:rPr>
      </w:pPr>
    </w:p>
    <w:p w14:paraId="1D8A3003" w14:textId="77777777" w:rsidR="00EB1053" w:rsidRDefault="00EB1053" w:rsidP="00EB1053">
      <w:pPr>
        <w:spacing w:line="360" w:lineRule="auto"/>
        <w:ind w:left="1080" w:firstLine="360"/>
        <w:jc w:val="both"/>
        <w:rPr>
          <w:rFonts w:ascii="Arial" w:hAnsi="Arial"/>
          <w:b/>
          <w:bCs/>
        </w:rPr>
      </w:pPr>
      <w:r>
        <w:rPr>
          <w:rFonts w:ascii="Arial" w:hAnsi="Arial" w:hint="cs"/>
          <w:b/>
          <w:bCs/>
          <w:rtl/>
        </w:rPr>
        <w:t>טענות האב לגבי הכנסות האם ומצבה הכלכלי</w:t>
      </w:r>
    </w:p>
    <w:p w14:paraId="5960A28E" w14:textId="77777777" w:rsidR="00EB1053" w:rsidRDefault="00EB1053" w:rsidP="00EB1053">
      <w:pPr>
        <w:pStyle w:val="ad"/>
        <w:numPr>
          <w:ilvl w:val="0"/>
          <w:numId w:val="1"/>
        </w:numPr>
        <w:spacing w:line="360" w:lineRule="auto"/>
        <w:jc w:val="both"/>
        <w:rPr>
          <w:rFonts w:ascii="Arial" w:hAnsi="Arial"/>
        </w:rPr>
      </w:pPr>
      <w:r>
        <w:rPr>
          <w:rFonts w:ascii="Arial" w:hAnsi="Arial"/>
          <w:rtl/>
        </w:rPr>
        <w:t xml:space="preserve">יש לאם תיק מניות של מעל 600,000 ₪ וחשבון עו"ש ביתרת זכות נאה. כמו-כן, לטענת האב – לאם מנייה חקלאית בשווי של 650,000 ₪. </w:t>
      </w:r>
    </w:p>
    <w:p w14:paraId="6B48F5A7" w14:textId="77777777" w:rsidR="00EB1053" w:rsidRDefault="00EB1053" w:rsidP="00EB1053">
      <w:pPr>
        <w:pStyle w:val="ad"/>
        <w:numPr>
          <w:ilvl w:val="0"/>
          <w:numId w:val="1"/>
        </w:numPr>
        <w:spacing w:line="360" w:lineRule="auto"/>
        <w:jc w:val="both"/>
        <w:rPr>
          <w:rFonts w:ascii="Arial" w:hAnsi="Arial"/>
        </w:rPr>
      </w:pPr>
      <w:r>
        <w:rPr>
          <w:rFonts w:ascii="Arial" w:hAnsi="Arial"/>
          <w:rtl/>
        </w:rPr>
        <w:t xml:space="preserve">האב מפנה להכנסה של האם משני תהליכי פונדקאות, הראשון בגינו קיבלה סך של 40,000 ₪ ובגין ההליך השני סך של 160,000 ₪. </w:t>
      </w:r>
    </w:p>
    <w:p w14:paraId="6905003A" w14:textId="6C0AF5B1" w:rsidR="00EB1053" w:rsidRDefault="00EB1053" w:rsidP="00EB1053">
      <w:pPr>
        <w:pStyle w:val="ad"/>
        <w:numPr>
          <w:ilvl w:val="0"/>
          <w:numId w:val="1"/>
        </w:numPr>
        <w:spacing w:line="360" w:lineRule="auto"/>
        <w:jc w:val="both"/>
        <w:rPr>
          <w:rFonts w:ascii="Arial" w:hAnsi="Arial"/>
        </w:rPr>
      </w:pPr>
      <w:r>
        <w:rPr>
          <w:rFonts w:ascii="Arial" w:hAnsi="Arial"/>
          <w:rtl/>
        </w:rPr>
        <w:t>לאם בעלות בבית פרטי במושב "</w:t>
      </w:r>
      <w:r w:rsidR="000815D9">
        <w:rPr>
          <w:rFonts w:ascii="Arial" w:hAnsi="Arial" w:hint="cs"/>
          <w:rtl/>
        </w:rPr>
        <w:t>---</w:t>
      </w:r>
      <w:r>
        <w:rPr>
          <w:rFonts w:ascii="Arial" w:hAnsi="Arial"/>
          <w:rtl/>
        </w:rPr>
        <w:t>", רכב חדש בעלות של 160,000 ₪, הכנסה ברוטו של 8,000 ₪, וכן זכאית לקצבת ילדים.</w:t>
      </w:r>
    </w:p>
    <w:p w14:paraId="7FE694F2" w14:textId="77777777" w:rsidR="00EB1053" w:rsidRDefault="00EB1053" w:rsidP="00EB1053">
      <w:pPr>
        <w:pStyle w:val="ad"/>
        <w:spacing w:line="360" w:lineRule="auto"/>
        <w:jc w:val="both"/>
        <w:rPr>
          <w:rFonts w:ascii="Arial" w:hAnsi="Arial"/>
        </w:rPr>
      </w:pPr>
    </w:p>
    <w:p w14:paraId="4BED0CFC" w14:textId="77777777" w:rsidR="00EB1053" w:rsidRDefault="00EB1053" w:rsidP="00EB1053">
      <w:pPr>
        <w:spacing w:line="360" w:lineRule="auto"/>
        <w:ind w:left="360"/>
        <w:jc w:val="both"/>
        <w:rPr>
          <w:rFonts w:ascii="Arial" w:hAnsi="Arial"/>
          <w:b/>
          <w:bCs/>
          <w:u w:val="single"/>
        </w:rPr>
      </w:pPr>
      <w:r>
        <w:rPr>
          <w:rFonts w:ascii="Arial" w:hAnsi="Arial" w:hint="cs"/>
          <w:b/>
          <w:bCs/>
          <w:u w:val="single"/>
          <w:rtl/>
        </w:rPr>
        <w:t>הכנסות האב ומצבו הכלכלי</w:t>
      </w:r>
    </w:p>
    <w:p w14:paraId="6018102A" w14:textId="5B1CE25F" w:rsidR="00EB1053" w:rsidRDefault="00EB1053" w:rsidP="00EB1053">
      <w:pPr>
        <w:pStyle w:val="ad"/>
        <w:numPr>
          <w:ilvl w:val="0"/>
          <w:numId w:val="1"/>
        </w:numPr>
        <w:spacing w:line="360" w:lineRule="auto"/>
        <w:jc w:val="both"/>
        <w:rPr>
          <w:rFonts w:ascii="Arial" w:hAnsi="Arial"/>
        </w:rPr>
      </w:pPr>
      <w:r>
        <w:rPr>
          <w:rFonts w:ascii="Arial" w:hAnsi="Arial"/>
          <w:rtl/>
        </w:rPr>
        <w:t>לטענת האב, הכנסתו מקצבת המל"ל הינה בסך של 6,000 ₪, ובנוסף הינו בעלים של העסק "</w:t>
      </w:r>
      <w:r w:rsidR="00D6430B">
        <w:rPr>
          <w:rFonts w:ascii="Arial" w:hAnsi="Arial" w:hint="cs"/>
          <w:rtl/>
        </w:rPr>
        <w:t>---</w:t>
      </w:r>
      <w:r>
        <w:rPr>
          <w:rFonts w:ascii="Arial" w:hAnsi="Arial"/>
          <w:rtl/>
        </w:rPr>
        <w:t xml:space="preserve">" והכנסתו החודשית על פי דו"ח רווח והפסד שהגיש הינה של כ- 6,200 ₪ בלבד. </w:t>
      </w:r>
    </w:p>
    <w:p w14:paraId="1630F553" w14:textId="77777777" w:rsidR="00EB1053" w:rsidRDefault="00EB1053" w:rsidP="00EB1053">
      <w:pPr>
        <w:pStyle w:val="ad"/>
        <w:numPr>
          <w:ilvl w:val="0"/>
          <w:numId w:val="1"/>
        </w:numPr>
        <w:spacing w:line="360" w:lineRule="auto"/>
        <w:jc w:val="both"/>
        <w:rPr>
          <w:rFonts w:ascii="Arial" w:hAnsi="Arial"/>
        </w:rPr>
      </w:pPr>
      <w:r>
        <w:rPr>
          <w:rFonts w:ascii="Arial" w:hAnsi="Arial"/>
          <w:rtl/>
        </w:rPr>
        <w:t xml:space="preserve">האב מפרט כי הוא מעריך את חובותיו בכ- 200,000 ₪ - מחצית הסכום לאחיו, וכי הוא משלם מידי חודש שכר דירה בסך של 3,500 ₪, החזר הלוואה בסך של 4,000 ₪. האב פירט כי פדה את ההלוואה מחשבון האם ולקח לצורך כך הלוואה מאחיו. </w:t>
      </w:r>
    </w:p>
    <w:p w14:paraId="6F40315D" w14:textId="3C8C1FBF" w:rsidR="00EB1053" w:rsidRDefault="00EB1053" w:rsidP="00EB1053">
      <w:pPr>
        <w:pStyle w:val="ad"/>
        <w:numPr>
          <w:ilvl w:val="0"/>
          <w:numId w:val="1"/>
        </w:numPr>
        <w:spacing w:line="360" w:lineRule="auto"/>
        <w:jc w:val="both"/>
        <w:rPr>
          <w:rFonts w:ascii="Arial" w:hAnsi="Arial"/>
        </w:rPr>
      </w:pPr>
      <w:r>
        <w:rPr>
          <w:rFonts w:ascii="Arial" w:hAnsi="Arial"/>
          <w:rtl/>
        </w:rPr>
        <w:t xml:space="preserve">האב מפרט כי נאלץ לצמצם את הוצאותיו, ועבר על כן לדירה בישוב </w:t>
      </w:r>
      <w:r w:rsidR="00D6430B">
        <w:rPr>
          <w:rFonts w:ascii="Arial" w:hAnsi="Arial" w:hint="cs"/>
          <w:rtl/>
        </w:rPr>
        <w:t>---</w:t>
      </w:r>
      <w:r>
        <w:rPr>
          <w:rFonts w:ascii="Arial" w:hAnsi="Arial"/>
          <w:rtl/>
        </w:rPr>
        <w:t xml:space="preserve"> בשכירות של 3,500 ₪ בחודש. </w:t>
      </w:r>
    </w:p>
    <w:p w14:paraId="0CB2B02E" w14:textId="77777777" w:rsidR="00EB1053" w:rsidRDefault="00EB1053" w:rsidP="00EB1053">
      <w:pPr>
        <w:pStyle w:val="ad"/>
        <w:numPr>
          <w:ilvl w:val="0"/>
          <w:numId w:val="1"/>
        </w:numPr>
        <w:spacing w:line="360" w:lineRule="auto"/>
        <w:jc w:val="both"/>
        <w:rPr>
          <w:rFonts w:ascii="Arial" w:hAnsi="Arial"/>
        </w:rPr>
      </w:pPr>
      <w:r>
        <w:rPr>
          <w:rFonts w:ascii="Arial" w:hAnsi="Arial"/>
          <w:rtl/>
        </w:rPr>
        <w:t xml:space="preserve">לעניין דו"ח החוקר הפרטי טוען האב כי מאחר ולא התקיים הליך הוכחות – יש ספק לגבי חוקיותה של החקירה. </w:t>
      </w:r>
      <w:r w:rsidR="00A720C8">
        <w:rPr>
          <w:rFonts w:ascii="Arial" w:hAnsi="Arial" w:hint="cs"/>
          <w:rtl/>
        </w:rPr>
        <w:t xml:space="preserve">מכל מקום </w:t>
      </w:r>
      <w:r>
        <w:rPr>
          <w:rFonts w:ascii="Arial" w:hAnsi="Arial"/>
          <w:rtl/>
        </w:rPr>
        <w:t xml:space="preserve">מאחר ומרבית העסקאות של האב הן מול מסעדות או מוסדות הרי שכל העסקאות מדווחות כדין. </w:t>
      </w:r>
    </w:p>
    <w:p w14:paraId="3E1D7DB2" w14:textId="77777777" w:rsidR="00EB1053" w:rsidRDefault="00A720C8" w:rsidP="00EB1053">
      <w:pPr>
        <w:pStyle w:val="ad"/>
        <w:numPr>
          <w:ilvl w:val="0"/>
          <w:numId w:val="1"/>
        </w:numPr>
        <w:spacing w:line="360" w:lineRule="auto"/>
        <w:jc w:val="both"/>
        <w:rPr>
          <w:rFonts w:ascii="Arial" w:hAnsi="Arial"/>
        </w:rPr>
      </w:pPr>
      <w:r>
        <w:rPr>
          <w:rFonts w:ascii="Arial" w:hAnsi="Arial" w:hint="cs"/>
          <w:rtl/>
        </w:rPr>
        <w:t xml:space="preserve">ב"כ </w:t>
      </w:r>
      <w:r w:rsidR="00EB1053">
        <w:rPr>
          <w:rFonts w:ascii="Arial" w:hAnsi="Arial"/>
          <w:rtl/>
        </w:rPr>
        <w:t xml:space="preserve">האב מפנה למאזני הבוחן ולתדפיסי החשבון שהוגשו על ידי האב בשקיפות מלאה. </w:t>
      </w:r>
    </w:p>
    <w:p w14:paraId="0C6BFD38" w14:textId="77777777" w:rsidR="00EB1053" w:rsidRDefault="00EB1053" w:rsidP="00EB1053">
      <w:pPr>
        <w:spacing w:line="360" w:lineRule="auto"/>
        <w:jc w:val="both"/>
        <w:rPr>
          <w:rFonts w:ascii="Arial" w:hAnsi="Arial"/>
          <w:b/>
          <w:bCs/>
          <w:u w:val="single"/>
        </w:rPr>
      </w:pPr>
      <w:r>
        <w:rPr>
          <w:rFonts w:ascii="Arial" w:hAnsi="Arial" w:hint="cs"/>
          <w:b/>
          <w:bCs/>
          <w:u w:val="single"/>
          <w:rtl/>
        </w:rPr>
        <w:t>דיון</w:t>
      </w:r>
    </w:p>
    <w:p w14:paraId="25DE01DF" w14:textId="77777777" w:rsidR="00EB1053" w:rsidRDefault="00EB1053" w:rsidP="00EB1053">
      <w:pPr>
        <w:pStyle w:val="ad"/>
        <w:numPr>
          <w:ilvl w:val="0"/>
          <w:numId w:val="4"/>
        </w:numPr>
        <w:spacing w:line="360" w:lineRule="auto"/>
        <w:jc w:val="both"/>
        <w:rPr>
          <w:rFonts w:ascii="Arial" w:hAnsi="Arial"/>
          <w:b/>
          <w:bCs/>
        </w:rPr>
      </w:pPr>
      <w:r>
        <w:rPr>
          <w:rFonts w:ascii="Arial" w:hAnsi="Arial"/>
          <w:b/>
          <w:bCs/>
          <w:rtl/>
        </w:rPr>
        <w:t>זמני השהות של הקטינים עם כל אחד מההורים</w:t>
      </w:r>
    </w:p>
    <w:p w14:paraId="50FA8826" w14:textId="77777777" w:rsidR="00EB1053" w:rsidRDefault="00EB1053" w:rsidP="00EB1053">
      <w:pPr>
        <w:pStyle w:val="ad"/>
        <w:numPr>
          <w:ilvl w:val="0"/>
          <w:numId w:val="1"/>
        </w:numPr>
        <w:spacing w:line="360" w:lineRule="auto"/>
        <w:jc w:val="both"/>
        <w:rPr>
          <w:rFonts w:ascii="Arial" w:hAnsi="Arial"/>
          <w:rtl/>
        </w:rPr>
      </w:pPr>
      <w:r>
        <w:rPr>
          <w:rFonts w:ascii="Arial" w:hAnsi="Arial"/>
          <w:rtl/>
        </w:rPr>
        <w:t xml:space="preserve">כך קבעה העו"ס בתסקירה המפורט מיום19.3.24 : </w:t>
      </w:r>
    </w:p>
    <w:p w14:paraId="3646063A" w14:textId="70750B17" w:rsidR="00EB1053" w:rsidRDefault="00384D27" w:rsidP="00384D27">
      <w:pPr>
        <w:pStyle w:val="ad"/>
        <w:spacing w:line="360" w:lineRule="auto"/>
        <w:ind w:left="708"/>
        <w:jc w:val="both"/>
        <w:rPr>
          <w:rFonts w:ascii="Arial" w:hAnsi="Arial"/>
          <w:b/>
          <w:bCs/>
          <w:noProof/>
          <w:sz w:val="22"/>
          <w:szCs w:val="22"/>
          <w:rtl/>
        </w:rPr>
      </w:pPr>
      <w:r>
        <w:rPr>
          <w:rFonts w:ascii="Arial" w:hAnsi="Arial" w:hint="cs"/>
          <w:noProof/>
          <w:sz w:val="22"/>
          <w:szCs w:val="22"/>
          <w:rtl/>
        </w:rPr>
        <w:t>"</w:t>
      </w:r>
      <w:r>
        <w:rPr>
          <w:rFonts w:ascii="Arial" w:hAnsi="Arial" w:hint="cs"/>
          <w:b/>
          <w:bCs/>
          <w:noProof/>
          <w:sz w:val="22"/>
          <w:szCs w:val="22"/>
          <w:rtl/>
        </w:rPr>
        <w:t>___</w:t>
      </w:r>
      <w:r w:rsidR="00181905">
        <w:rPr>
          <w:rFonts w:ascii="Arial" w:hAnsi="Arial" w:hint="cs"/>
          <w:b/>
          <w:bCs/>
          <w:noProof/>
          <w:sz w:val="22"/>
          <w:szCs w:val="22"/>
          <w:rtl/>
        </w:rPr>
        <w:t>' ו</w:t>
      </w:r>
      <w:r>
        <w:rPr>
          <w:rFonts w:ascii="Arial" w:hAnsi="Arial" w:hint="cs"/>
          <w:b/>
          <w:bCs/>
          <w:noProof/>
          <w:sz w:val="22"/>
          <w:szCs w:val="22"/>
          <w:rtl/>
        </w:rPr>
        <w:t>_____'</w:t>
      </w:r>
      <w:r w:rsidR="00181905">
        <w:rPr>
          <w:rFonts w:ascii="Arial" w:hAnsi="Arial" w:hint="cs"/>
          <w:b/>
          <w:bCs/>
          <w:noProof/>
          <w:sz w:val="22"/>
          <w:szCs w:val="22"/>
          <w:rtl/>
        </w:rPr>
        <w:t xml:space="preserve"> הוריהם של --- ו---, פרודים מזה כשלוש שנים. </w:t>
      </w:r>
    </w:p>
    <w:p w14:paraId="2E7E1E2C" w14:textId="0EA5CF35" w:rsidR="00181905" w:rsidRPr="00181905" w:rsidRDefault="00181905" w:rsidP="00384D27">
      <w:pPr>
        <w:pStyle w:val="ad"/>
        <w:spacing w:line="360" w:lineRule="auto"/>
        <w:ind w:left="708"/>
        <w:jc w:val="both"/>
        <w:rPr>
          <w:rFonts w:ascii="Arial" w:hAnsi="Arial"/>
          <w:b/>
          <w:bCs/>
          <w:sz w:val="22"/>
          <w:szCs w:val="22"/>
        </w:rPr>
      </w:pPr>
      <w:r>
        <w:rPr>
          <w:rFonts w:ascii="Arial" w:hAnsi="Arial" w:hint="cs"/>
          <w:b/>
          <w:bCs/>
          <w:noProof/>
          <w:sz w:val="22"/>
          <w:szCs w:val="22"/>
          <w:rtl/>
        </w:rPr>
        <w:t xml:space="preserve">לאורך הזמן מאז הפרידה התקיימו זמני שהות שווים. האם מביעה דאגה לתפקודו ההורי של האב ובעבר ביקשה לצמצם את זמני השהות בביתו. מכתיבת </w:t>
      </w:r>
      <w:r w:rsidR="00384D27">
        <w:rPr>
          <w:rFonts w:ascii="Arial" w:hAnsi="Arial" w:hint="cs"/>
          <w:b/>
          <w:bCs/>
          <w:noProof/>
          <w:sz w:val="22"/>
          <w:szCs w:val="22"/>
          <w:rtl/>
        </w:rPr>
        <w:t xml:space="preserve">תסקיר זה עולה כי על אף דאגותיה </w:t>
      </w:r>
      <w:r>
        <w:rPr>
          <w:rFonts w:ascii="Arial" w:hAnsi="Arial" w:hint="cs"/>
          <w:b/>
          <w:bCs/>
          <w:noProof/>
          <w:sz w:val="22"/>
          <w:szCs w:val="22"/>
          <w:rtl/>
        </w:rPr>
        <w:t xml:space="preserve">היא מבינה כיום כי לא נכון לעשות שינוי לילדיה, שהסתגלו לזמני השהות השווים. </w:t>
      </w:r>
    </w:p>
    <w:p w14:paraId="3769B28B" w14:textId="02BCB408" w:rsidR="00EB1053" w:rsidRDefault="00BE305D" w:rsidP="00384D27">
      <w:pPr>
        <w:pStyle w:val="ad"/>
        <w:spacing w:line="360" w:lineRule="auto"/>
        <w:ind w:left="708"/>
        <w:jc w:val="both"/>
        <w:rPr>
          <w:rFonts w:ascii="Arial" w:hAnsi="Arial"/>
          <w:b/>
          <w:bCs/>
          <w:sz w:val="22"/>
          <w:szCs w:val="22"/>
          <w:rtl/>
        </w:rPr>
      </w:pPr>
      <w:r>
        <w:rPr>
          <w:rFonts w:ascii="Arial" w:hAnsi="Arial" w:hint="cs"/>
          <w:b/>
          <w:bCs/>
          <w:noProof/>
          <w:sz w:val="22"/>
          <w:szCs w:val="22"/>
          <w:rtl/>
        </w:rPr>
        <w:lastRenderedPageBreak/>
        <w:t>ההתרשמות משני הורים מסורים, הנ</w:t>
      </w:r>
      <w:r w:rsidR="00384D27">
        <w:rPr>
          <w:rFonts w:ascii="Arial" w:hAnsi="Arial" w:hint="cs"/>
          <w:b/>
          <w:bCs/>
          <w:noProof/>
          <w:sz w:val="22"/>
          <w:szCs w:val="22"/>
          <w:rtl/>
        </w:rPr>
        <w:t>ות</w:t>
      </w:r>
      <w:r>
        <w:rPr>
          <w:rFonts w:ascii="Arial" w:hAnsi="Arial" w:hint="cs"/>
          <w:b/>
          <w:bCs/>
          <w:noProof/>
          <w:sz w:val="22"/>
          <w:szCs w:val="22"/>
          <w:rtl/>
        </w:rPr>
        <w:t xml:space="preserve">נים מענה לצרכי הילדים, רואים בטובתם, כל אחד על פי </w:t>
      </w:r>
      <w:r>
        <w:rPr>
          <w:rFonts w:ascii="Arial" w:hAnsi="Arial" w:hint="cs"/>
          <w:b/>
          <w:bCs/>
          <w:sz w:val="22"/>
          <w:szCs w:val="22"/>
          <w:rtl/>
        </w:rPr>
        <w:t xml:space="preserve">דרכו וסגנונו. הילדים זקוקים להמשך נוכחות וקשר משמעותי עם שני הוריהם. </w:t>
      </w:r>
    </w:p>
    <w:p w14:paraId="202F4974" w14:textId="6C1E9C76" w:rsidR="00BE305D" w:rsidRDefault="00BE305D" w:rsidP="00EB1053">
      <w:pPr>
        <w:pStyle w:val="ad"/>
        <w:spacing w:line="360" w:lineRule="auto"/>
        <w:jc w:val="both"/>
        <w:rPr>
          <w:rFonts w:ascii="Arial" w:hAnsi="Arial"/>
          <w:b/>
          <w:bCs/>
          <w:sz w:val="22"/>
          <w:szCs w:val="22"/>
          <w:rtl/>
        </w:rPr>
      </w:pPr>
      <w:r>
        <w:rPr>
          <w:rFonts w:ascii="Arial" w:hAnsi="Arial" w:hint="cs"/>
          <w:b/>
          <w:bCs/>
          <w:sz w:val="22"/>
          <w:szCs w:val="22"/>
          <w:rtl/>
        </w:rPr>
        <w:t xml:space="preserve">נראה כי הילדים הסתגלו לשגרת זמני השהות והמעברים בין בתי ההורים וקיימת יציבות לאורך זמן שמעניקה להם ביטחון. על אף המעבר של האב להתגורר בישוב אחר, הילדים מביעים שביעות רצון והשתלבו בישוב מבחינה חברתית. </w:t>
      </w:r>
    </w:p>
    <w:p w14:paraId="72E2A50A" w14:textId="46697A4D" w:rsidR="00BE305D" w:rsidRDefault="00BE305D" w:rsidP="00EB1053">
      <w:pPr>
        <w:pStyle w:val="ad"/>
        <w:spacing w:line="360" w:lineRule="auto"/>
        <w:jc w:val="both"/>
        <w:rPr>
          <w:rFonts w:ascii="Arial" w:hAnsi="Arial"/>
          <w:b/>
          <w:bCs/>
          <w:sz w:val="22"/>
          <w:szCs w:val="22"/>
          <w:rtl/>
        </w:rPr>
      </w:pPr>
      <w:r>
        <w:rPr>
          <w:rFonts w:ascii="Arial" w:hAnsi="Arial" w:hint="cs"/>
          <w:b/>
          <w:bCs/>
          <w:sz w:val="22"/>
          <w:szCs w:val="22"/>
          <w:rtl/>
        </w:rPr>
        <w:t>מהטיפול במסגרת "---" עולה כי שני ההורים מחויבים לתהליך ומשתמשים במרחב הטיפולי לעבודה של סוגיות בהורות.</w:t>
      </w:r>
    </w:p>
    <w:p w14:paraId="24396DC2" w14:textId="4CC31254" w:rsidR="00BE305D" w:rsidRDefault="00BE305D" w:rsidP="00EB1053">
      <w:pPr>
        <w:pStyle w:val="ad"/>
        <w:spacing w:line="360" w:lineRule="auto"/>
        <w:jc w:val="both"/>
        <w:rPr>
          <w:rFonts w:ascii="Arial" w:hAnsi="Arial"/>
          <w:b/>
          <w:bCs/>
          <w:sz w:val="22"/>
          <w:szCs w:val="22"/>
          <w:rtl/>
        </w:rPr>
      </w:pPr>
      <w:r>
        <w:rPr>
          <w:rFonts w:ascii="Arial" w:hAnsi="Arial" w:hint="cs"/>
          <w:b/>
          <w:bCs/>
          <w:sz w:val="22"/>
          <w:szCs w:val="22"/>
          <w:rtl/>
        </w:rPr>
        <w:t xml:space="preserve">--- השתלב בטיפול  לאחרונה, הוא מגיע לטיפול אך מביע התנגדות. --- נמצא בטיפול מספר חודשים ונראה כי עובר תהליך משמעותי. </w:t>
      </w:r>
    </w:p>
    <w:p w14:paraId="48A3557D" w14:textId="473CBA19" w:rsidR="00BE305D" w:rsidRDefault="00BE305D" w:rsidP="00EB1053">
      <w:pPr>
        <w:pStyle w:val="ad"/>
        <w:spacing w:line="360" w:lineRule="auto"/>
        <w:jc w:val="both"/>
        <w:rPr>
          <w:rFonts w:ascii="Arial" w:hAnsi="Arial"/>
          <w:b/>
          <w:bCs/>
          <w:sz w:val="22"/>
          <w:szCs w:val="22"/>
          <w:rtl/>
        </w:rPr>
      </w:pPr>
      <w:r>
        <w:rPr>
          <w:rFonts w:ascii="Arial" w:hAnsi="Arial" w:hint="cs"/>
          <w:b/>
          <w:bCs/>
          <w:sz w:val="22"/>
          <w:szCs w:val="22"/>
          <w:rtl/>
        </w:rPr>
        <w:t xml:space="preserve">מהקשר עם ההורים ודיווחי בית הספר עולה כי קיים שיפור במצבם הרגשי והתפקודי של שני הילדים. המשפחה נמצאת בתהליך משמעותי אותו ניתן להמשיך. </w:t>
      </w:r>
    </w:p>
    <w:p w14:paraId="569D5254" w14:textId="7F1B4A54" w:rsidR="00BE305D" w:rsidRDefault="00BE305D" w:rsidP="00EB1053">
      <w:pPr>
        <w:pStyle w:val="ad"/>
        <w:spacing w:line="360" w:lineRule="auto"/>
        <w:jc w:val="both"/>
        <w:rPr>
          <w:rFonts w:ascii="Arial" w:hAnsi="Arial"/>
          <w:b/>
          <w:bCs/>
          <w:sz w:val="22"/>
          <w:szCs w:val="22"/>
          <w:rtl/>
        </w:rPr>
      </w:pPr>
      <w:r>
        <w:rPr>
          <w:rFonts w:ascii="Arial" w:hAnsi="Arial" w:hint="cs"/>
          <w:b/>
          <w:bCs/>
          <w:sz w:val="22"/>
          <w:szCs w:val="22"/>
          <w:rtl/>
        </w:rPr>
        <w:t xml:space="preserve">חשוב לשאוף לסיים את ההליכים המשפטיים שנמשכים לאורך זמן רב ונראה כי מכבידים מאוד על המערכת המשפחתית. </w:t>
      </w:r>
    </w:p>
    <w:p w14:paraId="2C5B6553" w14:textId="1323453D" w:rsidR="007D673A" w:rsidRDefault="007D673A" w:rsidP="00EB1053">
      <w:pPr>
        <w:pStyle w:val="ad"/>
        <w:spacing w:line="360" w:lineRule="auto"/>
        <w:jc w:val="both"/>
        <w:rPr>
          <w:rFonts w:ascii="Arial" w:hAnsi="Arial"/>
          <w:b/>
          <w:bCs/>
          <w:sz w:val="22"/>
          <w:szCs w:val="22"/>
          <w:u w:val="single"/>
          <w:rtl/>
        </w:rPr>
      </w:pPr>
      <w:r>
        <w:rPr>
          <w:rFonts w:ascii="Arial" w:hAnsi="Arial" w:hint="cs"/>
          <w:b/>
          <w:bCs/>
          <w:sz w:val="22"/>
          <w:szCs w:val="22"/>
          <w:u w:val="single"/>
          <w:rtl/>
        </w:rPr>
        <w:t>המלצות:</w:t>
      </w:r>
    </w:p>
    <w:p w14:paraId="3E6DA5D6" w14:textId="40B25396" w:rsidR="007D673A" w:rsidRDefault="007D673A" w:rsidP="007D673A">
      <w:pPr>
        <w:pStyle w:val="ad"/>
        <w:numPr>
          <w:ilvl w:val="3"/>
          <w:numId w:val="1"/>
        </w:numPr>
        <w:spacing w:line="360" w:lineRule="auto"/>
        <w:jc w:val="both"/>
        <w:rPr>
          <w:rFonts w:ascii="Arial" w:hAnsi="Arial"/>
          <w:b/>
          <w:bCs/>
          <w:sz w:val="22"/>
          <w:szCs w:val="22"/>
        </w:rPr>
      </w:pPr>
      <w:r>
        <w:rPr>
          <w:rFonts w:ascii="Arial" w:hAnsi="Arial" w:hint="cs"/>
          <w:b/>
          <w:bCs/>
          <w:sz w:val="22"/>
          <w:szCs w:val="22"/>
          <w:rtl/>
        </w:rPr>
        <w:t xml:space="preserve">המשך קיום זמני שהות שווים, באותו מתווה בו התקיימו עד היום. </w:t>
      </w:r>
    </w:p>
    <w:p w14:paraId="4E635B77" w14:textId="63D20492" w:rsidR="007D673A" w:rsidRDefault="007D673A" w:rsidP="007D673A">
      <w:pPr>
        <w:pStyle w:val="ad"/>
        <w:numPr>
          <w:ilvl w:val="3"/>
          <w:numId w:val="1"/>
        </w:numPr>
        <w:spacing w:line="360" w:lineRule="auto"/>
        <w:jc w:val="both"/>
        <w:rPr>
          <w:rFonts w:ascii="Arial" w:hAnsi="Arial"/>
          <w:b/>
          <w:bCs/>
          <w:sz w:val="22"/>
          <w:szCs w:val="22"/>
        </w:rPr>
      </w:pPr>
      <w:r>
        <w:rPr>
          <w:rFonts w:ascii="Arial" w:hAnsi="Arial" w:hint="cs"/>
          <w:b/>
          <w:bCs/>
          <w:sz w:val="22"/>
          <w:szCs w:val="22"/>
          <w:rtl/>
        </w:rPr>
        <w:t xml:space="preserve">המשך תהליך טיפולי במסגרת "---", הדרכה הורית לכל אחד מההורים וטיפול רגשי ל--- ו---. טווח זמן הטיפול הוא על פי המלצת הצוות המטפל. </w:t>
      </w:r>
    </w:p>
    <w:p w14:paraId="16401090" w14:textId="5844D8BA" w:rsidR="007D673A" w:rsidRPr="00384D27" w:rsidRDefault="007D673A" w:rsidP="007D673A">
      <w:pPr>
        <w:pStyle w:val="ad"/>
        <w:spacing w:line="360" w:lineRule="auto"/>
        <w:ind w:left="2880"/>
        <w:jc w:val="both"/>
        <w:rPr>
          <w:rFonts w:ascii="Arial" w:hAnsi="Arial"/>
          <w:sz w:val="22"/>
          <w:szCs w:val="22"/>
        </w:rPr>
      </w:pPr>
      <w:r>
        <w:rPr>
          <w:rFonts w:ascii="Arial" w:hAnsi="Arial" w:hint="cs"/>
          <w:b/>
          <w:bCs/>
          <w:sz w:val="22"/>
          <w:szCs w:val="22"/>
          <w:rtl/>
        </w:rPr>
        <w:t xml:space="preserve">לגבי המשך הטיפול הרגשי ל---, תעשה חשיבה משותפת של הצוות המטפל ביחד עם ההורים. </w:t>
      </w:r>
      <w:r w:rsidR="00384D27">
        <w:rPr>
          <w:rFonts w:ascii="Arial" w:hAnsi="Arial" w:hint="cs"/>
          <w:sz w:val="22"/>
          <w:szCs w:val="22"/>
          <w:rtl/>
        </w:rPr>
        <w:t>"</w:t>
      </w:r>
    </w:p>
    <w:p w14:paraId="6CF33F4F" w14:textId="77777777" w:rsidR="00EB1053" w:rsidRPr="00384D27" w:rsidRDefault="00EB1053" w:rsidP="00EB1053">
      <w:pPr>
        <w:pStyle w:val="ad"/>
        <w:spacing w:line="360" w:lineRule="auto"/>
        <w:jc w:val="both"/>
        <w:rPr>
          <w:rFonts w:ascii="Arial" w:hAnsi="Arial"/>
          <w:sz w:val="16"/>
          <w:szCs w:val="16"/>
          <w:rtl/>
        </w:rPr>
      </w:pPr>
    </w:p>
    <w:p w14:paraId="4AD0981C" w14:textId="77777777" w:rsidR="00EB1053" w:rsidRDefault="00EB1053" w:rsidP="00EB1053">
      <w:pPr>
        <w:pStyle w:val="ad"/>
        <w:numPr>
          <w:ilvl w:val="0"/>
          <w:numId w:val="1"/>
        </w:numPr>
        <w:spacing w:line="360" w:lineRule="auto"/>
        <w:jc w:val="both"/>
        <w:rPr>
          <w:rFonts w:ascii="Arial" w:hAnsi="Arial"/>
          <w:rtl/>
        </w:rPr>
      </w:pPr>
      <w:r>
        <w:rPr>
          <w:rFonts w:ascii="Arial" w:hAnsi="Arial"/>
          <w:rtl/>
        </w:rPr>
        <w:t xml:space="preserve">והאפוטרופוס לדין ציינה בעמדתה כי בהתאם לתסקיר העו"ס  הרי שהמשך ההליכים אינם מועילים לקטינים, ולא הוזכר דבר לגבי צורך לשנות מזמני השהות שהתקבעו בין הצדדים לאחר הפירוד ביניהם. </w:t>
      </w:r>
    </w:p>
    <w:p w14:paraId="3F683EEB" w14:textId="77777777" w:rsidR="00EB1053" w:rsidRDefault="00EB1053" w:rsidP="00EB1053">
      <w:pPr>
        <w:spacing w:line="360" w:lineRule="auto"/>
        <w:ind w:left="360"/>
        <w:jc w:val="both"/>
        <w:rPr>
          <w:rFonts w:ascii="Arial" w:hAnsi="Arial"/>
          <w:b/>
          <w:bCs/>
          <w:u w:val="single"/>
        </w:rPr>
      </w:pPr>
      <w:r>
        <w:rPr>
          <w:rFonts w:ascii="Arial" w:hAnsi="Arial" w:hint="cs"/>
          <w:b/>
          <w:bCs/>
          <w:u w:val="single"/>
          <w:rtl/>
        </w:rPr>
        <w:lastRenderedPageBreak/>
        <w:t>הכרעה בנושא זמני השהות</w:t>
      </w:r>
    </w:p>
    <w:p w14:paraId="1D42818F" w14:textId="77777777" w:rsidR="00EB1053" w:rsidRDefault="00EB1053" w:rsidP="00EB1053">
      <w:pPr>
        <w:pStyle w:val="ad"/>
        <w:numPr>
          <w:ilvl w:val="0"/>
          <w:numId w:val="1"/>
        </w:numPr>
        <w:spacing w:line="360" w:lineRule="auto"/>
        <w:jc w:val="both"/>
        <w:rPr>
          <w:rFonts w:ascii="Arial" w:hAnsi="Arial"/>
        </w:rPr>
      </w:pPr>
      <w:r>
        <w:rPr>
          <w:rFonts w:ascii="Arial" w:hAnsi="Arial"/>
          <w:rtl/>
        </w:rPr>
        <w:t>לאחרונה חזר וקבע בית המשפט המחוזי ב</w:t>
      </w:r>
      <w:r>
        <w:rPr>
          <w:rtl/>
        </w:rPr>
        <w:t xml:space="preserve"> </w:t>
      </w:r>
      <w:r>
        <w:rPr>
          <w:rFonts w:ascii="Arial" w:hAnsi="Arial"/>
          <w:rtl/>
        </w:rPr>
        <w:t xml:space="preserve">עמ"ש </w:t>
      </w:r>
      <w:r>
        <w:rPr>
          <w:rFonts w:ascii="Arial" w:hAnsi="Arial"/>
          <w:b/>
          <w:bCs/>
          <w:rtl/>
        </w:rPr>
        <w:t>38027-08-24 פלונית נ' פלוני</w:t>
      </w:r>
      <w:r>
        <w:rPr>
          <w:rFonts w:ascii="Arial" w:hAnsi="Arial"/>
          <w:rtl/>
        </w:rPr>
        <w:t xml:space="preserve"> שניתן ביום 14.10.24 כי:</w:t>
      </w:r>
    </w:p>
    <w:p w14:paraId="1B7109AB" w14:textId="77777777" w:rsidR="00EB1053" w:rsidRPr="00384D27" w:rsidRDefault="00EB1053" w:rsidP="00EB1053">
      <w:pPr>
        <w:pStyle w:val="ad"/>
        <w:spacing w:line="360" w:lineRule="auto"/>
        <w:ind w:left="2160" w:hanging="720"/>
        <w:jc w:val="both"/>
        <w:rPr>
          <w:rFonts w:ascii="Arial" w:hAnsi="Arial"/>
        </w:rPr>
      </w:pPr>
      <w:r>
        <w:rPr>
          <w:rFonts w:ascii="Arial" w:hAnsi="Arial"/>
          <w:rtl/>
        </w:rPr>
        <w:t xml:space="preserve"> </w:t>
      </w:r>
      <w:r>
        <w:rPr>
          <w:rFonts w:ascii="Arial" w:hAnsi="Arial" w:hint="cs"/>
          <w:rtl/>
        </w:rPr>
        <w:tab/>
      </w:r>
      <w:r w:rsidRPr="00384D27">
        <w:rPr>
          <w:rFonts w:ascii="Arial" w:hAnsi="Arial" w:hint="cs"/>
          <w:rtl/>
        </w:rPr>
        <w:t>"</w:t>
      </w:r>
      <w:r>
        <w:rPr>
          <w:rFonts w:ascii="Arial" w:hAnsi="Arial" w:hint="cs"/>
          <w:b/>
          <w:bCs/>
          <w:rtl/>
        </w:rPr>
        <w:t>כפי שציין ביהמ"ש קמא בפסק הדין, סטייה מהמלצות מומחה שמינה בית המשפט – ומעמדו של  תסקיר דומה למעמד של  חוו"ד מומחה - תיעשה רק במקרים שבהם קיימים טעמים כבדי משקל המצדיקים סטייה מההמלצות</w:t>
      </w:r>
      <w:r w:rsidRPr="00384D27">
        <w:rPr>
          <w:rFonts w:ascii="Arial" w:hAnsi="Arial" w:hint="cs"/>
          <w:rtl/>
        </w:rPr>
        <w:t>."</w:t>
      </w:r>
    </w:p>
    <w:p w14:paraId="5A8C99DF" w14:textId="77777777" w:rsidR="00EB1053" w:rsidRDefault="00EB1053" w:rsidP="00EB1053">
      <w:pPr>
        <w:spacing w:line="360" w:lineRule="auto"/>
        <w:jc w:val="both"/>
        <w:rPr>
          <w:rFonts w:ascii="Arial" w:hAnsi="Arial"/>
          <w:b/>
          <w:bCs/>
          <w:u w:val="single"/>
          <w:rtl/>
        </w:rPr>
      </w:pPr>
      <w:r>
        <w:rPr>
          <w:rFonts w:ascii="Arial" w:hAnsi="Arial" w:hint="cs"/>
          <w:b/>
          <w:bCs/>
          <w:u w:val="single"/>
          <w:rtl/>
        </w:rPr>
        <w:t>הכרעה</w:t>
      </w:r>
    </w:p>
    <w:p w14:paraId="5EF7D50E" w14:textId="77777777" w:rsidR="00EB1053" w:rsidRDefault="00EB1053" w:rsidP="00EB1053">
      <w:pPr>
        <w:pStyle w:val="ad"/>
        <w:numPr>
          <w:ilvl w:val="0"/>
          <w:numId w:val="1"/>
        </w:numPr>
        <w:spacing w:line="360" w:lineRule="auto"/>
        <w:rPr>
          <w:rFonts w:ascii="Arial" w:hAnsi="Arial"/>
          <w:rtl/>
        </w:rPr>
      </w:pPr>
      <w:r>
        <w:rPr>
          <w:rFonts w:ascii="Arial" w:hAnsi="Arial"/>
          <w:rtl/>
        </w:rPr>
        <w:t xml:space="preserve">כל הגורמים המקצועיים ציינו כי מדובר בשני הורים מטיבים הפועלים לטובת ילדיהם, והעו"ס אף ציינה כי </w:t>
      </w:r>
      <w:r w:rsidRPr="00384D27">
        <w:rPr>
          <w:rFonts w:ascii="Arial" w:hAnsi="Arial"/>
          <w:rtl/>
        </w:rPr>
        <w:t>"</w:t>
      </w:r>
      <w:r>
        <w:rPr>
          <w:rFonts w:ascii="Arial" w:hAnsi="Arial"/>
          <w:b/>
          <w:bCs/>
          <w:rtl/>
        </w:rPr>
        <w:t>שני הורים מסורים, הנותנים מענה לצרכי הילדים, רואים בטובתם, כל אחד על פי דרכו וסגנונו.</w:t>
      </w:r>
      <w:r w:rsidRPr="00384D27">
        <w:rPr>
          <w:rFonts w:ascii="Arial" w:hAnsi="Arial"/>
          <w:rtl/>
        </w:rPr>
        <w:t>"</w:t>
      </w:r>
    </w:p>
    <w:p w14:paraId="64B55A24" w14:textId="77777777" w:rsidR="00EB1053" w:rsidRDefault="00EB1053" w:rsidP="00EB1053">
      <w:pPr>
        <w:pStyle w:val="ad"/>
        <w:numPr>
          <w:ilvl w:val="0"/>
          <w:numId w:val="1"/>
        </w:numPr>
        <w:spacing w:line="360" w:lineRule="auto"/>
        <w:jc w:val="both"/>
        <w:rPr>
          <w:rFonts w:ascii="Arial" w:hAnsi="Arial"/>
          <w:rtl/>
        </w:rPr>
      </w:pPr>
      <w:r>
        <w:rPr>
          <w:rFonts w:ascii="Arial" w:hAnsi="Arial"/>
          <w:rtl/>
        </w:rPr>
        <w:t xml:space="preserve">הטענה של האם כנגד האב לגבי מצבו הרפואי ו/או התנהלותו ההורית לא הוכחה כלל. </w:t>
      </w:r>
    </w:p>
    <w:p w14:paraId="1C50120A" w14:textId="77777777" w:rsidR="00EB1053" w:rsidRDefault="00EB1053" w:rsidP="00EB1053">
      <w:pPr>
        <w:pStyle w:val="ad"/>
        <w:numPr>
          <w:ilvl w:val="0"/>
          <w:numId w:val="1"/>
        </w:numPr>
        <w:spacing w:line="360" w:lineRule="auto"/>
        <w:jc w:val="both"/>
        <w:rPr>
          <w:rFonts w:ascii="Arial" w:hAnsi="Arial"/>
          <w:b/>
          <w:bCs/>
        </w:rPr>
      </w:pPr>
      <w:r>
        <w:rPr>
          <w:rFonts w:ascii="Arial" w:hAnsi="Arial"/>
          <w:b/>
          <w:bCs/>
          <w:rtl/>
        </w:rPr>
        <w:t>לפיכך, בהמשך לעמדת הגורמים המקצועיים אני מורה כי זמני השהות שנהגו עד כה בין הצדדים מאז פרידתם – זמני שהות שוויוניים  - ימשיכו ויחולו מעתה ואילך</w:t>
      </w:r>
      <w:r w:rsidRPr="00384D27">
        <w:rPr>
          <w:rFonts w:ascii="Arial" w:hAnsi="Arial"/>
          <w:rtl/>
        </w:rPr>
        <w:t>.</w:t>
      </w:r>
    </w:p>
    <w:p w14:paraId="46D0BFE1" w14:textId="77777777" w:rsidR="00EB1053" w:rsidRDefault="00EB1053" w:rsidP="00EB1053">
      <w:pPr>
        <w:pStyle w:val="ad"/>
        <w:numPr>
          <w:ilvl w:val="0"/>
          <w:numId w:val="1"/>
        </w:numPr>
        <w:spacing w:line="360" w:lineRule="auto"/>
        <w:jc w:val="both"/>
        <w:rPr>
          <w:rFonts w:ascii="Arial" w:hAnsi="Arial"/>
        </w:rPr>
      </w:pPr>
      <w:r>
        <w:rPr>
          <w:rFonts w:ascii="Arial" w:hAnsi="Arial"/>
          <w:rtl/>
        </w:rPr>
        <w:t xml:space="preserve">אני דוחה את טענות האם כי יש לחייב את האב בהמשך מעקב פסיכיאטרי בגין העובדה כי לא פנה לביטול זכאותו לקצבת נכות וטענה זו – עדיף לו לא נטענה כלל. </w:t>
      </w:r>
    </w:p>
    <w:p w14:paraId="515E080F" w14:textId="77777777" w:rsidR="00EB1053" w:rsidRPr="00384D27" w:rsidRDefault="00EB1053" w:rsidP="00EB1053">
      <w:pPr>
        <w:pStyle w:val="ad"/>
        <w:numPr>
          <w:ilvl w:val="0"/>
          <w:numId w:val="1"/>
        </w:numPr>
        <w:spacing w:line="360" w:lineRule="auto"/>
        <w:jc w:val="both"/>
        <w:rPr>
          <w:rFonts w:ascii="Arial" w:hAnsi="Arial"/>
        </w:rPr>
      </w:pPr>
      <w:r>
        <w:rPr>
          <w:rFonts w:ascii="Arial" w:hAnsi="Arial"/>
          <w:rtl/>
        </w:rPr>
        <w:t>היות האב ברמיסיה מלאה אינה שוללת ממנו את זכויותיו וכפי שציינה העו"ס בסיכום התסקיר מדובר ולפיכך, כאמור,</w:t>
      </w:r>
      <w:r w:rsidRPr="00A720C8">
        <w:rPr>
          <w:rFonts w:ascii="Arial" w:hAnsi="Arial"/>
          <w:b/>
          <w:bCs/>
          <w:rtl/>
        </w:rPr>
        <w:t xml:space="preserve"> בית המשפט מאמץ את המלצות התסקיר מיום 19.3.24</w:t>
      </w:r>
      <w:r w:rsidRPr="00384D27">
        <w:rPr>
          <w:rFonts w:ascii="Arial" w:hAnsi="Arial"/>
          <w:rtl/>
        </w:rPr>
        <w:t>.</w:t>
      </w:r>
    </w:p>
    <w:p w14:paraId="1F6801D1" w14:textId="77777777" w:rsidR="00EB1053" w:rsidRDefault="00EB1053" w:rsidP="00EB1053">
      <w:pPr>
        <w:spacing w:line="360" w:lineRule="auto"/>
        <w:jc w:val="both"/>
        <w:rPr>
          <w:rFonts w:ascii="Arial" w:hAnsi="Arial"/>
          <w:b/>
          <w:bCs/>
          <w:u w:val="single"/>
        </w:rPr>
      </w:pPr>
      <w:r>
        <w:rPr>
          <w:rFonts w:ascii="Arial" w:hAnsi="Arial" w:hint="cs"/>
          <w:b/>
          <w:bCs/>
          <w:u w:val="single"/>
          <w:rtl/>
        </w:rPr>
        <w:t xml:space="preserve">צרכי הקטינים </w:t>
      </w:r>
    </w:p>
    <w:p w14:paraId="741A64A6" w14:textId="77777777" w:rsidR="00EB1053" w:rsidRDefault="00EB1053" w:rsidP="00EB1053">
      <w:pPr>
        <w:pStyle w:val="ad"/>
        <w:numPr>
          <w:ilvl w:val="0"/>
          <w:numId w:val="1"/>
        </w:numPr>
        <w:spacing w:line="360" w:lineRule="auto"/>
        <w:jc w:val="both"/>
        <w:rPr>
          <w:rFonts w:ascii="Arial" w:hAnsi="Arial"/>
          <w:rtl/>
        </w:rPr>
      </w:pPr>
      <w:r>
        <w:rPr>
          <w:rFonts w:ascii="Arial" w:hAnsi="Arial"/>
          <w:rtl/>
        </w:rPr>
        <w:lastRenderedPageBreak/>
        <w:t xml:space="preserve">אין מחלוקת כי אין לקטינים צרכים מיוחדים מעבר לאלה של בני גילם. </w:t>
      </w:r>
    </w:p>
    <w:p w14:paraId="33941736" w14:textId="77777777" w:rsidR="00EB1053" w:rsidRDefault="00EB1053" w:rsidP="00EB1053">
      <w:pPr>
        <w:pStyle w:val="ad"/>
        <w:numPr>
          <w:ilvl w:val="0"/>
          <w:numId w:val="1"/>
        </w:numPr>
        <w:spacing w:line="360" w:lineRule="auto"/>
        <w:jc w:val="both"/>
        <w:rPr>
          <w:rFonts w:ascii="Arial" w:hAnsi="Arial"/>
        </w:rPr>
      </w:pPr>
      <w:r>
        <w:rPr>
          <w:rFonts w:ascii="Arial" w:hAnsi="Arial"/>
          <w:rtl/>
        </w:rPr>
        <w:t xml:space="preserve">בכתב התביעה של האם פורטו סכומים שונים כצרכי הקטינים, בתצהירה חזרה על האמור בכתב התביעה ואין בסיכומיה התייחסות ספציפית או מיוחדת לצרכי הקטינים. </w:t>
      </w:r>
    </w:p>
    <w:p w14:paraId="534B4377" w14:textId="77777777" w:rsidR="00EB1053" w:rsidRDefault="00EB1053" w:rsidP="00EB1053">
      <w:pPr>
        <w:pStyle w:val="ad"/>
        <w:numPr>
          <w:ilvl w:val="0"/>
          <w:numId w:val="1"/>
        </w:numPr>
        <w:spacing w:line="360" w:lineRule="auto"/>
        <w:jc w:val="both"/>
        <w:rPr>
          <w:rFonts w:ascii="Arial" w:hAnsi="Arial"/>
        </w:rPr>
      </w:pPr>
      <w:r>
        <w:rPr>
          <w:rFonts w:ascii="Arial" w:hAnsi="Arial"/>
          <w:rtl/>
        </w:rPr>
        <w:t xml:space="preserve">האב בכתבי טענותיו ציין כי הסכומים שנתבעו הם מופרזים ואף אינם מתאימים לרמת החיים של הצדדים במהלך החיים המשותפים. </w:t>
      </w:r>
    </w:p>
    <w:p w14:paraId="096805B3" w14:textId="77777777" w:rsidR="00B32F9D" w:rsidRDefault="00B32F9D" w:rsidP="00B32F9D">
      <w:pPr>
        <w:spacing w:line="360" w:lineRule="auto"/>
        <w:jc w:val="both"/>
        <w:rPr>
          <w:rFonts w:ascii="Arial" w:hAnsi="Arial"/>
          <w:rtl/>
        </w:rPr>
      </w:pPr>
      <w:r>
        <w:rPr>
          <w:rFonts w:ascii="Arial" w:hAnsi="Arial" w:hint="cs"/>
          <w:b/>
          <w:bCs/>
          <w:u w:val="single"/>
          <w:rtl/>
        </w:rPr>
        <w:t>מצבם הכלכלי של ההורים ו</w:t>
      </w:r>
      <w:r w:rsidR="00EB1053">
        <w:rPr>
          <w:rFonts w:ascii="Arial" w:hAnsi="Arial" w:hint="cs"/>
          <w:b/>
          <w:bCs/>
          <w:u w:val="single"/>
          <w:rtl/>
        </w:rPr>
        <w:t>השתכרות</w:t>
      </w:r>
      <w:r>
        <w:rPr>
          <w:rFonts w:ascii="Arial" w:hAnsi="Arial" w:hint="cs"/>
          <w:b/>
          <w:bCs/>
          <w:u w:val="single"/>
          <w:rtl/>
        </w:rPr>
        <w:t>ם</w:t>
      </w:r>
      <w:r w:rsidR="00EB1053">
        <w:rPr>
          <w:rFonts w:ascii="Arial" w:hAnsi="Arial" w:hint="cs"/>
          <w:b/>
          <w:bCs/>
          <w:u w:val="single"/>
          <w:rtl/>
        </w:rPr>
        <w:t xml:space="preserve"> </w:t>
      </w:r>
    </w:p>
    <w:p w14:paraId="76AF52DB" w14:textId="77777777" w:rsidR="00EB1053" w:rsidRPr="00B32F9D" w:rsidRDefault="00EB1053" w:rsidP="00B32F9D">
      <w:pPr>
        <w:pStyle w:val="ad"/>
        <w:numPr>
          <w:ilvl w:val="0"/>
          <w:numId w:val="1"/>
        </w:numPr>
        <w:spacing w:line="360" w:lineRule="auto"/>
        <w:jc w:val="both"/>
        <w:rPr>
          <w:rFonts w:ascii="Arial" w:hAnsi="Arial"/>
        </w:rPr>
      </w:pPr>
      <w:r w:rsidRPr="00B32F9D">
        <w:rPr>
          <w:rFonts w:ascii="Arial" w:hAnsi="Arial"/>
          <w:rtl/>
        </w:rPr>
        <w:t>בתחילת ההליכים עלו שאלות לגבי השתכרות שני הצדדים אולם לאחר קיום ההליכים וצירוף אסמכתאות מצד כל אחד מהצדדים עולה התמונה המפורטת להלן.</w:t>
      </w:r>
    </w:p>
    <w:p w14:paraId="3F0A898E" w14:textId="77777777" w:rsidR="00EB1053" w:rsidRDefault="00EB1053" w:rsidP="00EB1053">
      <w:pPr>
        <w:spacing w:line="360" w:lineRule="auto"/>
        <w:jc w:val="both"/>
        <w:rPr>
          <w:rFonts w:ascii="Arial" w:hAnsi="Arial"/>
          <w:b/>
          <w:bCs/>
          <w:u w:val="single"/>
        </w:rPr>
      </w:pPr>
    </w:p>
    <w:p w14:paraId="124BD8F1" w14:textId="77777777" w:rsidR="00EB1053" w:rsidRDefault="00EB1053" w:rsidP="00EB1053">
      <w:pPr>
        <w:spacing w:line="360" w:lineRule="auto"/>
        <w:jc w:val="both"/>
        <w:rPr>
          <w:rFonts w:ascii="Arial" w:hAnsi="Arial"/>
          <w:b/>
          <w:bCs/>
          <w:u w:val="single"/>
          <w:rtl/>
        </w:rPr>
      </w:pPr>
      <w:r>
        <w:rPr>
          <w:rFonts w:ascii="Arial" w:hAnsi="Arial" w:hint="cs"/>
          <w:b/>
          <w:bCs/>
          <w:u w:val="single"/>
          <w:rtl/>
        </w:rPr>
        <w:t>מצבה הכלכלי והשתכרותה של האם</w:t>
      </w:r>
    </w:p>
    <w:p w14:paraId="02CE4C8D" w14:textId="77777777" w:rsidR="00EB1053" w:rsidRDefault="00EB1053" w:rsidP="00EB1053">
      <w:pPr>
        <w:pStyle w:val="ad"/>
        <w:numPr>
          <w:ilvl w:val="0"/>
          <w:numId w:val="1"/>
        </w:numPr>
        <w:spacing w:line="360" w:lineRule="auto"/>
        <w:jc w:val="both"/>
        <w:rPr>
          <w:rFonts w:ascii="Arial" w:hAnsi="Arial"/>
        </w:rPr>
      </w:pPr>
      <w:r>
        <w:rPr>
          <w:rFonts w:ascii="Arial" w:hAnsi="Arial"/>
          <w:rtl/>
        </w:rPr>
        <w:t>רק לאחר חודשים ארוכים של התדיינות, לאחר שהטענה כי יש בידי האם חסכונות בניירות ערך בשווי של מעל חצי מיליון ₪ נאותה האם להודות בעובדות אך מבלי לפרט בפני בית המשפט את גרסתה לסכומים אלה וזאת בדרך זו (סעיף 2 לתגובה מיום 17.3.22):</w:t>
      </w:r>
    </w:p>
    <w:p w14:paraId="33DC7F3C" w14:textId="2FF882F4" w:rsidR="00EB1053" w:rsidRPr="00012EEE" w:rsidRDefault="00384D27" w:rsidP="00EB1053">
      <w:pPr>
        <w:pStyle w:val="ad"/>
        <w:spacing w:line="360" w:lineRule="auto"/>
        <w:ind w:left="1440"/>
        <w:jc w:val="both"/>
        <w:rPr>
          <w:rFonts w:ascii="Arial" w:hAnsi="Arial"/>
          <w:b/>
          <w:bCs/>
          <w:sz w:val="22"/>
          <w:szCs w:val="22"/>
        </w:rPr>
      </w:pPr>
      <w:r>
        <w:rPr>
          <w:rFonts w:ascii="Arial" w:hAnsi="Arial" w:hint="cs"/>
          <w:noProof/>
          <w:sz w:val="22"/>
          <w:szCs w:val="22"/>
          <w:rtl/>
        </w:rPr>
        <w:t>"</w:t>
      </w:r>
      <w:r w:rsidR="00012EEE">
        <w:rPr>
          <w:rFonts w:ascii="Arial" w:hAnsi="Arial" w:hint="cs"/>
          <w:b/>
          <w:bCs/>
          <w:noProof/>
          <w:sz w:val="22"/>
          <w:szCs w:val="22"/>
          <w:rtl/>
        </w:rPr>
        <w:t>אשר לטענת הנתבע כי יש לזון את הקטינים מחסכונותיה של התובעת יובהר כי אכן ברשות התובעת כספים שחסכה טרם נישואיה לנתבע. זו היתה הסיבה לכך שהתובעת התעקש</w:t>
      </w:r>
      <w:r>
        <w:rPr>
          <w:rFonts w:ascii="Arial" w:hAnsi="Arial" w:hint="cs"/>
          <w:b/>
          <w:bCs/>
          <w:noProof/>
          <w:sz w:val="22"/>
          <w:szCs w:val="22"/>
          <w:rtl/>
        </w:rPr>
        <w:t>ה כי בין הצדדים יחתם הסכם ממון.</w:t>
      </w:r>
      <w:r w:rsidRPr="00384D27">
        <w:rPr>
          <w:rFonts w:ascii="Arial" w:hAnsi="Arial" w:hint="cs"/>
          <w:sz w:val="22"/>
          <w:szCs w:val="22"/>
          <w:rtl/>
        </w:rPr>
        <w:t>"</w:t>
      </w:r>
    </w:p>
    <w:p w14:paraId="2D09F145" w14:textId="354AE1B4" w:rsidR="00EB1053" w:rsidRDefault="00EB1053" w:rsidP="00EB1053">
      <w:pPr>
        <w:pStyle w:val="ad"/>
        <w:numPr>
          <w:ilvl w:val="0"/>
          <w:numId w:val="1"/>
        </w:numPr>
        <w:spacing w:line="360" w:lineRule="auto"/>
        <w:jc w:val="both"/>
        <w:rPr>
          <w:rFonts w:ascii="Arial" w:hAnsi="Arial"/>
          <w:b/>
          <w:bCs/>
        </w:rPr>
      </w:pPr>
      <w:r>
        <w:rPr>
          <w:rFonts w:ascii="Arial" w:hAnsi="Arial"/>
          <w:b/>
          <w:bCs/>
          <w:rtl/>
        </w:rPr>
        <w:t>בבעלותה של האם בית במושב "</w:t>
      </w:r>
      <w:r w:rsidR="00434DC3">
        <w:rPr>
          <w:rFonts w:ascii="Arial" w:hAnsi="Arial" w:hint="cs"/>
          <w:b/>
          <w:bCs/>
          <w:rtl/>
        </w:rPr>
        <w:t>---</w:t>
      </w:r>
      <w:r>
        <w:rPr>
          <w:rFonts w:ascii="Arial" w:hAnsi="Arial"/>
          <w:b/>
          <w:bCs/>
          <w:rtl/>
        </w:rPr>
        <w:t xml:space="preserve">", שהינו נקי משעבודים, חסכונות בסך של כ-600,000 ₪ לחודש, משכורת ממוצעת </w:t>
      </w:r>
      <w:r>
        <w:rPr>
          <w:rFonts w:ascii="Arial" w:hAnsi="Arial"/>
          <w:b/>
          <w:bCs/>
          <w:u w:val="single"/>
          <w:rtl/>
        </w:rPr>
        <w:t>בסך 6,100 ₪ נטו</w:t>
      </w:r>
      <w:r>
        <w:rPr>
          <w:rFonts w:ascii="Arial" w:hAnsi="Arial"/>
          <w:b/>
          <w:bCs/>
          <w:rtl/>
        </w:rPr>
        <w:t xml:space="preserve"> לתשלום לחודש</w:t>
      </w:r>
      <w:r w:rsidRPr="00384D27">
        <w:rPr>
          <w:rFonts w:ascii="Arial" w:hAnsi="Arial"/>
          <w:rtl/>
        </w:rPr>
        <w:t>.</w:t>
      </w:r>
      <w:r>
        <w:rPr>
          <w:rFonts w:ascii="Arial" w:hAnsi="Arial"/>
          <w:b/>
          <w:bCs/>
        </w:rPr>
        <w:t xml:space="preserve"> </w:t>
      </w:r>
      <w:r>
        <w:rPr>
          <w:rFonts w:ascii="Arial" w:hAnsi="Arial"/>
          <w:b/>
          <w:bCs/>
          <w:rtl/>
        </w:rPr>
        <w:t xml:space="preserve"> </w:t>
      </w:r>
    </w:p>
    <w:p w14:paraId="7179C10D" w14:textId="77777777" w:rsidR="00EB1053" w:rsidRDefault="00EB1053" w:rsidP="00EB1053">
      <w:pPr>
        <w:pStyle w:val="ad"/>
        <w:numPr>
          <w:ilvl w:val="0"/>
          <w:numId w:val="1"/>
        </w:numPr>
        <w:spacing w:line="360" w:lineRule="auto"/>
        <w:jc w:val="both"/>
        <w:rPr>
          <w:rFonts w:ascii="Arial" w:hAnsi="Arial"/>
        </w:rPr>
      </w:pPr>
      <w:r>
        <w:rPr>
          <w:rFonts w:ascii="Arial" w:hAnsi="Arial"/>
          <w:rtl/>
        </w:rPr>
        <w:lastRenderedPageBreak/>
        <w:t xml:space="preserve">חשבון העו"ש של האם עומד על יתרת זכות שבין 10,000 ₪ לבין 20,000 ₪ במהלך ששה חודשים רצופים (ואף גבוהה בהרבה בתקופות נוספות – ראה מסמכים שהוגשו ביום 8.6.22). </w:t>
      </w:r>
    </w:p>
    <w:p w14:paraId="66EFF985" w14:textId="77777777" w:rsidR="00EB1053" w:rsidRDefault="00EB1053" w:rsidP="00EB1053">
      <w:pPr>
        <w:pStyle w:val="ad"/>
        <w:numPr>
          <w:ilvl w:val="0"/>
          <w:numId w:val="1"/>
        </w:numPr>
        <w:spacing w:line="360" w:lineRule="auto"/>
        <w:jc w:val="both"/>
        <w:rPr>
          <w:rFonts w:ascii="Arial" w:hAnsi="Arial"/>
        </w:rPr>
      </w:pPr>
      <w:r>
        <w:rPr>
          <w:rFonts w:ascii="Arial" w:hAnsi="Arial"/>
          <w:rtl/>
        </w:rPr>
        <w:t>גם הטענה כי לאם מני</w:t>
      </w:r>
      <w:r w:rsidR="00B32F9D">
        <w:rPr>
          <w:rFonts w:ascii="Arial" w:hAnsi="Arial" w:hint="cs"/>
          <w:rtl/>
        </w:rPr>
        <w:t>י</w:t>
      </w:r>
      <w:r>
        <w:rPr>
          <w:rFonts w:ascii="Arial" w:hAnsi="Arial"/>
          <w:rtl/>
        </w:rPr>
        <w:t xml:space="preserve">ה חקלאית ששוויה מעל 600,000 ₪ לא נסתרה על ידי האם. </w:t>
      </w:r>
    </w:p>
    <w:p w14:paraId="1F444F71" w14:textId="77777777" w:rsidR="00EB1053" w:rsidRDefault="00EB1053" w:rsidP="00EB1053">
      <w:pPr>
        <w:spacing w:line="360" w:lineRule="auto"/>
        <w:jc w:val="both"/>
        <w:rPr>
          <w:rFonts w:ascii="Arial" w:hAnsi="Arial"/>
          <w:b/>
          <w:bCs/>
          <w:u w:val="single"/>
        </w:rPr>
      </w:pPr>
      <w:r>
        <w:rPr>
          <w:rFonts w:ascii="Arial" w:hAnsi="Arial" w:hint="cs"/>
          <w:b/>
          <w:bCs/>
          <w:u w:val="single"/>
          <w:rtl/>
        </w:rPr>
        <w:t>מצבו הכלכלי של האב והשתכרותו</w:t>
      </w:r>
    </w:p>
    <w:p w14:paraId="1AA859A6" w14:textId="23FEFB3E" w:rsidR="00EB1053" w:rsidRDefault="00EB1053" w:rsidP="00EB1053">
      <w:pPr>
        <w:pStyle w:val="ad"/>
        <w:numPr>
          <w:ilvl w:val="0"/>
          <w:numId w:val="1"/>
        </w:numPr>
        <w:spacing w:line="360" w:lineRule="auto"/>
        <w:jc w:val="both"/>
        <w:rPr>
          <w:rFonts w:ascii="Arial" w:hAnsi="Arial"/>
        </w:rPr>
      </w:pPr>
      <w:r>
        <w:rPr>
          <w:rFonts w:ascii="Arial" w:hAnsi="Arial"/>
          <w:rtl/>
        </w:rPr>
        <w:t xml:space="preserve">האב מתגורר בשכירות מאז נפרדו הצדדים, תחילה במושב </w:t>
      </w:r>
      <w:r w:rsidR="00220A8B">
        <w:rPr>
          <w:rFonts w:ascii="Arial" w:hAnsi="Arial" w:hint="cs"/>
          <w:rtl/>
        </w:rPr>
        <w:t>---</w:t>
      </w:r>
      <w:r>
        <w:rPr>
          <w:rFonts w:ascii="Arial" w:hAnsi="Arial"/>
          <w:rtl/>
        </w:rPr>
        <w:t xml:space="preserve"> תמורת שכר דירה של 4,600 ₪ ולאחרונה עבר להתגורר במושב </w:t>
      </w:r>
      <w:r w:rsidR="00220A8B">
        <w:rPr>
          <w:rFonts w:ascii="Arial" w:hAnsi="Arial" w:hint="cs"/>
          <w:rtl/>
        </w:rPr>
        <w:t>---</w:t>
      </w:r>
      <w:r>
        <w:rPr>
          <w:rFonts w:ascii="Arial" w:hAnsi="Arial"/>
          <w:rtl/>
        </w:rPr>
        <w:t xml:space="preserve"> תמורת שכר דירה של 3,900 ₪. </w:t>
      </w:r>
    </w:p>
    <w:p w14:paraId="4784069A" w14:textId="77777777" w:rsidR="00EB1053" w:rsidRDefault="00EB1053" w:rsidP="00EB1053">
      <w:pPr>
        <w:pStyle w:val="ad"/>
        <w:numPr>
          <w:ilvl w:val="0"/>
          <w:numId w:val="1"/>
        </w:numPr>
        <w:spacing w:line="360" w:lineRule="auto"/>
        <w:jc w:val="both"/>
        <w:rPr>
          <w:rFonts w:ascii="Arial" w:hAnsi="Arial"/>
        </w:rPr>
      </w:pPr>
      <w:r>
        <w:rPr>
          <w:rFonts w:ascii="Arial" w:hAnsi="Arial"/>
          <w:rtl/>
        </w:rPr>
        <w:t xml:space="preserve">לאב עסק שהוקם במהלך הנישואין אך נשאר בבעלותו במועד פרידת הצדדים, רכב מסחרי שנרכש תמורת 250,000 ₪ שבגינו משלם הלוואה שיתרתה הייתה במועד הסכם הגירושין כ- 100,000 ₪. </w:t>
      </w:r>
    </w:p>
    <w:p w14:paraId="2EFE1EDC" w14:textId="77777777" w:rsidR="00EB1053" w:rsidRDefault="00EB1053" w:rsidP="00EB1053">
      <w:pPr>
        <w:pStyle w:val="ad"/>
        <w:numPr>
          <w:ilvl w:val="0"/>
          <w:numId w:val="1"/>
        </w:numPr>
        <w:spacing w:line="360" w:lineRule="auto"/>
        <w:jc w:val="both"/>
        <w:rPr>
          <w:rFonts w:ascii="Arial" w:hAnsi="Arial"/>
        </w:rPr>
      </w:pPr>
      <w:r>
        <w:rPr>
          <w:rFonts w:ascii="Arial" w:hAnsi="Arial"/>
          <w:rtl/>
        </w:rPr>
        <w:t xml:space="preserve">האב זכאי לקצבת נכות בסך של כ- 6,000 ₪ וכן הכנסותיו מהעסק על פי הדיווחים שהוצגו על ידו מניבות הכנסה נוספת של כ- 6,000 ₪ לחודש. </w:t>
      </w:r>
    </w:p>
    <w:p w14:paraId="65F29A63" w14:textId="77777777" w:rsidR="00EB1053" w:rsidRDefault="00EB1053" w:rsidP="00EB1053">
      <w:pPr>
        <w:pStyle w:val="ad"/>
        <w:numPr>
          <w:ilvl w:val="0"/>
          <w:numId w:val="1"/>
        </w:numPr>
        <w:spacing w:line="360" w:lineRule="auto"/>
        <w:jc w:val="both"/>
        <w:rPr>
          <w:rFonts w:ascii="Arial" w:hAnsi="Arial"/>
        </w:rPr>
      </w:pPr>
      <w:r>
        <w:rPr>
          <w:rFonts w:ascii="Arial" w:hAnsi="Arial"/>
          <w:rtl/>
        </w:rPr>
        <w:t xml:space="preserve">החשבון העסקי של האב נמצא ביתרות זכות לא קטנות חודשים ארוכים (ראה מסמכים שהוגשו ביום 8.6.22 – עם יתרות זכות שנעות בין 70,000 ₪ ל- 100,000 ₪ במהלך שנת 2022 גם אם לא נעלם מעיניי כי בחודש 2/22 נלקחה הלוואה על ידי האב בסך של מעל 100,000 ₪. </w:t>
      </w:r>
    </w:p>
    <w:p w14:paraId="2719B836" w14:textId="77777777" w:rsidR="00EB1053" w:rsidRDefault="00EB1053" w:rsidP="00EB1053">
      <w:pPr>
        <w:pStyle w:val="ad"/>
        <w:numPr>
          <w:ilvl w:val="0"/>
          <w:numId w:val="1"/>
        </w:numPr>
        <w:spacing w:line="360" w:lineRule="auto"/>
        <w:jc w:val="both"/>
        <w:rPr>
          <w:rFonts w:ascii="Arial" w:hAnsi="Arial"/>
        </w:rPr>
      </w:pPr>
      <w:r>
        <w:rPr>
          <w:rFonts w:ascii="Arial" w:hAnsi="Arial"/>
          <w:rtl/>
        </w:rPr>
        <w:t xml:space="preserve">בנסיבות אלה, ותוך קבלת האפשרות כי יש לאב הכנסות נוספות (גם אם אקראיות לאור אופי הפעילות של העסק ) מעבר למה שמדווח במסגרת עסקו – בית המשפט קובע את הכנסתו החודשית לסך כולל של 13,000 ₪ לחודש. </w:t>
      </w:r>
    </w:p>
    <w:p w14:paraId="20BCA6D7" w14:textId="77777777" w:rsidR="00C64A8A" w:rsidRDefault="00C64A8A" w:rsidP="00C64A8A">
      <w:pPr>
        <w:spacing w:line="360" w:lineRule="auto"/>
        <w:jc w:val="both"/>
        <w:rPr>
          <w:rFonts w:ascii="Arial" w:hAnsi="Arial"/>
          <w:b/>
          <w:bCs/>
          <w:u w:val="single"/>
          <w:rtl/>
        </w:rPr>
      </w:pPr>
      <w:r w:rsidRPr="00C64A8A">
        <w:rPr>
          <w:rFonts w:ascii="Arial" w:hAnsi="Arial" w:hint="cs"/>
          <w:b/>
          <w:bCs/>
          <w:u w:val="single"/>
          <w:rtl/>
        </w:rPr>
        <w:lastRenderedPageBreak/>
        <w:t>המסגרת הנורמטיבית</w:t>
      </w:r>
    </w:p>
    <w:p w14:paraId="00595AEE" w14:textId="77777777" w:rsidR="00C64A8A" w:rsidRPr="00C64A8A" w:rsidRDefault="00C64A8A" w:rsidP="00C64A8A">
      <w:pPr>
        <w:pStyle w:val="ad"/>
        <w:numPr>
          <w:ilvl w:val="0"/>
          <w:numId w:val="1"/>
        </w:numPr>
        <w:spacing w:line="360" w:lineRule="auto"/>
        <w:jc w:val="both"/>
        <w:rPr>
          <w:rFonts w:ascii="Arial" w:hAnsi="Arial"/>
        </w:rPr>
      </w:pPr>
      <w:r w:rsidRPr="00C64A8A">
        <w:rPr>
          <w:rFonts w:ascii="Arial" w:hAnsi="Arial" w:hint="cs"/>
          <w:b/>
          <w:bCs/>
          <w:rtl/>
        </w:rPr>
        <w:t>ב</w:t>
      </w:r>
      <w:r w:rsidRPr="00C64A8A">
        <w:rPr>
          <w:rFonts w:ascii="Arial" w:hAnsi="Arial"/>
          <w:b/>
          <w:bCs/>
          <w:rtl/>
        </w:rPr>
        <w:t xml:space="preserve">עמ"ש (מחוזי מרכז) 45565-07-20 א. פ נ' ק. פ </w:t>
      </w:r>
      <w:r w:rsidRPr="00C64A8A">
        <w:rPr>
          <w:rFonts w:ascii="Arial" w:hAnsi="Arial"/>
          <w:rtl/>
        </w:rPr>
        <w:t xml:space="preserve">(נבו 18.2.2021)‏‏ </w:t>
      </w:r>
      <w:r w:rsidRPr="00C64A8A">
        <w:rPr>
          <w:rFonts w:ascii="Arial" w:hAnsi="Arial" w:hint="cs"/>
          <w:rtl/>
        </w:rPr>
        <w:t xml:space="preserve"> קבע בית המשפט כך: </w:t>
      </w:r>
    </w:p>
    <w:p w14:paraId="7F02013F" w14:textId="77777777" w:rsidR="00C64A8A" w:rsidRDefault="00C64A8A" w:rsidP="00C64A8A">
      <w:pPr>
        <w:pStyle w:val="ad"/>
        <w:spacing w:line="360" w:lineRule="auto"/>
        <w:ind w:left="1440"/>
        <w:jc w:val="both"/>
        <w:rPr>
          <w:rFonts w:ascii="Arial" w:hAnsi="Arial"/>
          <w:b/>
          <w:bCs/>
          <w:rtl/>
        </w:rPr>
      </w:pPr>
      <w:r w:rsidRPr="00384D27">
        <w:rPr>
          <w:rFonts w:ascii="Arial" w:hAnsi="Arial"/>
          <w:rtl/>
        </w:rPr>
        <w:t>"</w:t>
      </w:r>
      <w:r w:rsidRPr="00C64A8A">
        <w:rPr>
          <w:rFonts w:ascii="Arial" w:hAnsi="Arial"/>
          <w:b/>
          <w:bCs/>
          <w:rtl/>
        </w:rPr>
        <w:t>24. זאת ועוד, כאשר אנו באים לקבוע את יחס ההשתכרויות של הצדדים לצורך שיעור חיובם במזונות הקטינים עלינו להתייחס להכנסה הפנויה של כל אחד מהם להבדיל מהכנסתם הכוללת.</w:t>
      </w:r>
      <w:r w:rsidRPr="00384D27">
        <w:rPr>
          <w:rFonts w:ascii="Arial" w:hAnsi="Arial"/>
          <w:rtl/>
        </w:rPr>
        <w:t>"</w:t>
      </w:r>
    </w:p>
    <w:p w14:paraId="0AF6D536" w14:textId="28B79C43" w:rsidR="00BE153F" w:rsidRDefault="00BE153F" w:rsidP="00BE153F">
      <w:pPr>
        <w:pStyle w:val="ad"/>
        <w:numPr>
          <w:ilvl w:val="0"/>
          <w:numId w:val="1"/>
        </w:numPr>
        <w:spacing w:line="360" w:lineRule="auto"/>
        <w:jc w:val="both"/>
        <w:rPr>
          <w:rFonts w:ascii="Arial" w:hAnsi="Arial"/>
        </w:rPr>
      </w:pPr>
      <w:r w:rsidRPr="00BE153F">
        <w:rPr>
          <w:rFonts w:ascii="Arial" w:hAnsi="Arial" w:hint="cs"/>
          <w:b/>
          <w:bCs/>
          <w:rtl/>
        </w:rPr>
        <w:t>וב</w:t>
      </w:r>
      <w:r w:rsidRPr="00BE153F">
        <w:rPr>
          <w:rFonts w:ascii="Arial" w:hAnsi="Arial"/>
          <w:b/>
          <w:bCs/>
          <w:rtl/>
        </w:rPr>
        <w:t>עמ"ש (מחוזי מרכז) 2366-06-23 ש. מ נ' נ. מ. מ</w:t>
      </w:r>
      <w:r w:rsidRPr="00BE153F">
        <w:rPr>
          <w:rFonts w:ascii="Arial" w:hAnsi="Arial"/>
          <w:rtl/>
        </w:rPr>
        <w:t xml:space="preserve"> (נבו 24.12.2023)‏‏ </w:t>
      </w:r>
    </w:p>
    <w:p w14:paraId="26F27DC0" w14:textId="476655A2" w:rsidR="00384D27" w:rsidRPr="00384D27" w:rsidRDefault="00384D27" w:rsidP="00384D27">
      <w:pPr>
        <w:pStyle w:val="ad"/>
        <w:spacing w:line="360" w:lineRule="auto"/>
        <w:jc w:val="both"/>
        <w:rPr>
          <w:rFonts w:ascii="Arial" w:hAnsi="Arial"/>
        </w:rPr>
      </w:pPr>
      <w:r w:rsidRPr="00384D27">
        <w:rPr>
          <w:rFonts w:ascii="Arial" w:hAnsi="Arial" w:hint="cs"/>
          <w:rtl/>
        </w:rPr>
        <w:t>"</w:t>
      </w:r>
    </w:p>
    <w:p w14:paraId="3A5E3C21" w14:textId="77777777" w:rsidR="00BE153F" w:rsidRDefault="00BE153F" w:rsidP="00384D27">
      <w:pPr>
        <w:spacing w:line="360" w:lineRule="auto"/>
        <w:ind w:left="720" w:firstLine="720"/>
        <w:jc w:val="both"/>
        <w:rPr>
          <w:rFonts w:ascii="Arial" w:hAnsi="Arial"/>
          <w:b/>
          <w:bCs/>
          <w:rtl/>
        </w:rPr>
      </w:pPr>
      <w:r w:rsidRPr="00384D27">
        <w:rPr>
          <w:rFonts w:ascii="Arial" w:hAnsi="Arial" w:hint="cs"/>
          <w:b/>
          <w:bCs/>
          <w:rtl/>
        </w:rPr>
        <w:t>1</w:t>
      </w:r>
      <w:r w:rsidRPr="00384D27">
        <w:rPr>
          <w:rFonts w:ascii="Arial" w:hAnsi="Arial"/>
          <w:b/>
          <w:bCs/>
          <w:rtl/>
        </w:rPr>
        <w:t>1</w:t>
      </w:r>
      <w:r w:rsidRPr="00BE153F">
        <w:rPr>
          <w:rFonts w:ascii="Arial" w:hAnsi="Arial"/>
          <w:b/>
          <w:bCs/>
          <w:rtl/>
        </w:rPr>
        <w:t xml:space="preserve">.     כך בהתאם להלכה הפסוקה, לצורך קביעת היחס הכלכלי בין הורים יש </w:t>
      </w:r>
      <w:r w:rsidR="00C13531">
        <w:rPr>
          <w:rFonts w:ascii="Arial" w:hAnsi="Arial"/>
          <w:b/>
          <w:bCs/>
          <w:rtl/>
        </w:rPr>
        <w:tab/>
      </w:r>
      <w:r>
        <w:rPr>
          <w:rFonts w:ascii="Arial" w:hAnsi="Arial"/>
          <w:b/>
          <w:bCs/>
          <w:rtl/>
        </w:rPr>
        <w:tab/>
      </w:r>
      <w:r>
        <w:rPr>
          <w:rFonts w:ascii="Arial" w:hAnsi="Arial"/>
          <w:b/>
          <w:bCs/>
          <w:rtl/>
        </w:rPr>
        <w:tab/>
      </w:r>
      <w:r w:rsidRPr="00BE153F">
        <w:rPr>
          <w:rFonts w:ascii="Arial" w:hAnsi="Arial"/>
          <w:b/>
          <w:bCs/>
          <w:rtl/>
        </w:rPr>
        <w:t xml:space="preserve">לתת על הדעת את ההשתכרות הפנויה של כל אחד מהם, וכפי שצוין בעניין </w:t>
      </w:r>
      <w:r>
        <w:rPr>
          <w:rFonts w:ascii="Arial" w:hAnsi="Arial"/>
          <w:b/>
          <w:bCs/>
          <w:rtl/>
        </w:rPr>
        <w:tab/>
      </w:r>
      <w:r>
        <w:rPr>
          <w:rFonts w:ascii="Arial" w:hAnsi="Arial"/>
          <w:b/>
          <w:bCs/>
          <w:rtl/>
        </w:rPr>
        <w:tab/>
      </w:r>
      <w:r w:rsidRPr="00BE153F">
        <w:rPr>
          <w:rFonts w:ascii="Arial" w:hAnsi="Arial"/>
          <w:b/>
          <w:bCs/>
          <w:rtl/>
        </w:rPr>
        <w:t xml:space="preserve">בע"מ 919/15 – "'ההכנסה הפנויה' הרלוונטית לצורך קביעת חיובו של </w:t>
      </w:r>
      <w:r>
        <w:rPr>
          <w:rFonts w:ascii="Arial" w:hAnsi="Arial"/>
          <w:b/>
          <w:bCs/>
          <w:rtl/>
        </w:rPr>
        <w:tab/>
      </w:r>
      <w:r>
        <w:rPr>
          <w:rFonts w:ascii="Arial" w:hAnsi="Arial"/>
          <w:b/>
          <w:bCs/>
          <w:rtl/>
        </w:rPr>
        <w:tab/>
      </w:r>
      <w:r w:rsidRPr="00BE153F">
        <w:rPr>
          <w:rFonts w:ascii="Arial" w:hAnsi="Arial"/>
          <w:b/>
          <w:bCs/>
          <w:rtl/>
        </w:rPr>
        <w:t>הורה במזונות נקבעת תוך הערכת יכולתו הכלכלית הכוללת ב'ראיה רחבה',</w:t>
      </w:r>
      <w:r>
        <w:rPr>
          <w:rFonts w:ascii="Arial" w:hAnsi="Arial"/>
          <w:b/>
          <w:bCs/>
          <w:rtl/>
        </w:rPr>
        <w:tab/>
      </w:r>
      <w:r>
        <w:rPr>
          <w:rFonts w:ascii="Arial" w:hAnsi="Arial"/>
          <w:b/>
          <w:bCs/>
          <w:rtl/>
        </w:rPr>
        <w:tab/>
      </w:r>
      <w:r w:rsidRPr="00BE153F">
        <w:rPr>
          <w:rFonts w:ascii="Arial" w:hAnsi="Arial"/>
          <w:b/>
          <w:bCs/>
          <w:rtl/>
        </w:rPr>
        <w:t xml:space="preserve"> כך שלא רק משכורת ה'נטו' מובאת בחשבון, אלא סך כל המקורות </w:t>
      </w:r>
      <w:r>
        <w:rPr>
          <w:rFonts w:ascii="Arial" w:hAnsi="Arial"/>
          <w:b/>
          <w:bCs/>
          <w:rtl/>
        </w:rPr>
        <w:tab/>
      </w:r>
      <w:r>
        <w:rPr>
          <w:rFonts w:ascii="Arial" w:hAnsi="Arial"/>
          <w:b/>
          <w:bCs/>
          <w:rtl/>
        </w:rPr>
        <w:tab/>
      </w:r>
      <w:r>
        <w:rPr>
          <w:rFonts w:ascii="Arial" w:hAnsi="Arial"/>
          <w:b/>
          <w:bCs/>
          <w:rtl/>
        </w:rPr>
        <w:tab/>
      </w:r>
      <w:r w:rsidRPr="00BE153F">
        <w:rPr>
          <w:rFonts w:ascii="Arial" w:hAnsi="Arial"/>
          <w:b/>
          <w:bCs/>
          <w:rtl/>
        </w:rPr>
        <w:t xml:space="preserve">הכלכליים העומדים לרשות משלם המזונות, כולל נכסים, חסכונות, ואף </w:t>
      </w:r>
      <w:r>
        <w:rPr>
          <w:rFonts w:ascii="Arial" w:hAnsi="Arial"/>
          <w:b/>
          <w:bCs/>
          <w:rtl/>
        </w:rPr>
        <w:tab/>
      </w:r>
      <w:r>
        <w:rPr>
          <w:rFonts w:ascii="Arial" w:hAnsi="Arial"/>
          <w:b/>
          <w:bCs/>
          <w:rtl/>
        </w:rPr>
        <w:tab/>
      </w:r>
      <w:r w:rsidRPr="00BE153F">
        <w:rPr>
          <w:rFonts w:ascii="Arial" w:hAnsi="Arial"/>
          <w:b/>
          <w:bCs/>
          <w:rtl/>
        </w:rPr>
        <w:t xml:space="preserve">פוטנציאל ההשתכרות (בע"ם 3432/09 פלוני נ' פלונית, פסקה יח </w:t>
      </w:r>
      <w:r>
        <w:rPr>
          <w:rFonts w:ascii="Arial" w:hAnsi="Arial"/>
          <w:b/>
          <w:bCs/>
          <w:rtl/>
        </w:rPr>
        <w:tab/>
      </w:r>
      <w:r>
        <w:rPr>
          <w:rFonts w:ascii="Arial" w:hAnsi="Arial"/>
          <w:b/>
          <w:bCs/>
          <w:rtl/>
        </w:rPr>
        <w:tab/>
      </w:r>
      <w:r>
        <w:rPr>
          <w:rFonts w:ascii="Arial" w:hAnsi="Arial"/>
          <w:b/>
          <w:bCs/>
          <w:rtl/>
        </w:rPr>
        <w:tab/>
      </w:r>
      <w:r w:rsidRPr="00BE153F">
        <w:rPr>
          <w:rFonts w:ascii="Arial" w:hAnsi="Arial"/>
          <w:b/>
          <w:bCs/>
          <w:rtl/>
        </w:rPr>
        <w:t>(23.6.2009); ע"א 239/85 עמיצור נ' עמיצור פ"ד מ(1) 147, 154-152</w:t>
      </w:r>
      <w:r>
        <w:rPr>
          <w:rFonts w:ascii="Arial" w:hAnsi="Arial"/>
          <w:b/>
          <w:bCs/>
          <w:rtl/>
        </w:rPr>
        <w:tab/>
      </w:r>
      <w:r>
        <w:rPr>
          <w:rFonts w:ascii="Arial" w:hAnsi="Arial"/>
          <w:b/>
          <w:bCs/>
          <w:rtl/>
        </w:rPr>
        <w:tab/>
      </w:r>
      <w:r w:rsidRPr="00BE153F">
        <w:rPr>
          <w:rFonts w:ascii="Arial" w:hAnsi="Arial"/>
          <w:b/>
          <w:bCs/>
          <w:rtl/>
        </w:rPr>
        <w:t xml:space="preserve"> (1986);ע"א 130/83 פרייס נ' פרייס, פ"ד לח(1) 721, 727-725 (1984))." </w:t>
      </w:r>
    </w:p>
    <w:p w14:paraId="4C358AB7" w14:textId="77777777" w:rsidR="00EB1053" w:rsidRPr="00384D27" w:rsidRDefault="00BE153F" w:rsidP="00384D27">
      <w:pPr>
        <w:spacing w:line="360" w:lineRule="auto"/>
        <w:ind w:left="1440" w:firstLine="720"/>
        <w:jc w:val="both"/>
        <w:rPr>
          <w:rFonts w:ascii="Arial" w:hAnsi="Arial"/>
          <w:rtl/>
        </w:rPr>
      </w:pPr>
      <w:r w:rsidRPr="00BE153F">
        <w:rPr>
          <w:rFonts w:ascii="Arial" w:hAnsi="Arial"/>
          <w:b/>
          <w:bCs/>
          <w:rtl/>
        </w:rPr>
        <w:t xml:space="preserve">ואם כן, כאמור, לא את השתכרות הצדדים בלבד עלינו לבחון לצורך חישוב </w:t>
      </w:r>
      <w:r>
        <w:rPr>
          <w:rFonts w:ascii="Arial" w:hAnsi="Arial"/>
          <w:b/>
          <w:bCs/>
          <w:rtl/>
        </w:rPr>
        <w:tab/>
      </w:r>
      <w:r w:rsidRPr="00BE153F">
        <w:rPr>
          <w:rFonts w:ascii="Arial" w:hAnsi="Arial"/>
          <w:b/>
          <w:bCs/>
          <w:rtl/>
        </w:rPr>
        <w:t>ראוי של סך המזונות, אלא את הכנסתם הפנויה</w:t>
      </w:r>
      <w:r w:rsidRPr="00384D27">
        <w:rPr>
          <w:rFonts w:ascii="Arial" w:hAnsi="Arial"/>
          <w:rtl/>
        </w:rPr>
        <w:t>."</w:t>
      </w:r>
    </w:p>
    <w:p w14:paraId="3D176852" w14:textId="77777777" w:rsidR="00BE153F" w:rsidRPr="00384D27" w:rsidRDefault="00BE153F" w:rsidP="00BE153F">
      <w:pPr>
        <w:spacing w:line="360" w:lineRule="auto"/>
        <w:ind w:left="1440" w:firstLine="720"/>
        <w:jc w:val="both"/>
        <w:rPr>
          <w:rFonts w:ascii="Arial" w:hAnsi="Arial"/>
          <w:sz w:val="16"/>
          <w:szCs w:val="16"/>
          <w:rtl/>
        </w:rPr>
      </w:pPr>
    </w:p>
    <w:p w14:paraId="4609E376" w14:textId="77777777" w:rsidR="00EB1053" w:rsidRDefault="00EB1053" w:rsidP="00384D27">
      <w:pPr>
        <w:spacing w:line="360" w:lineRule="auto"/>
        <w:ind w:left="1440" w:hanging="732"/>
        <w:jc w:val="both"/>
        <w:rPr>
          <w:rFonts w:ascii="Arial" w:hAnsi="Arial"/>
          <w:b/>
          <w:bCs/>
        </w:rPr>
      </w:pPr>
      <w:r>
        <w:rPr>
          <w:rFonts w:ascii="Arial" w:hAnsi="Arial" w:hint="cs"/>
          <w:b/>
          <w:bCs/>
          <w:rtl/>
        </w:rPr>
        <w:t>ההכנסות הפנויות של הצדדים לעניין תשלום מזונות</w:t>
      </w:r>
    </w:p>
    <w:p w14:paraId="0467FF43" w14:textId="77777777" w:rsidR="00EB1053" w:rsidRDefault="00EB1053" w:rsidP="00EB1053">
      <w:pPr>
        <w:pStyle w:val="ad"/>
        <w:numPr>
          <w:ilvl w:val="0"/>
          <w:numId w:val="1"/>
        </w:numPr>
        <w:spacing w:line="360" w:lineRule="auto"/>
        <w:jc w:val="both"/>
        <w:rPr>
          <w:rFonts w:ascii="Arial" w:hAnsi="Arial"/>
        </w:rPr>
      </w:pPr>
      <w:r>
        <w:rPr>
          <w:rFonts w:ascii="Arial" w:hAnsi="Arial"/>
          <w:rtl/>
        </w:rPr>
        <w:lastRenderedPageBreak/>
        <w:t xml:space="preserve">לא אוכל להתעלם מכך שהאם בחרה להסתיר מבית המשפט במשך תקופה ארוכה את מצבה הכלכלי האיתן הכולל מעבר לבעלותה בנכס שבו מתגוררת תיק ניירות ערך ומניה חקלאית. </w:t>
      </w:r>
    </w:p>
    <w:p w14:paraId="24B85534" w14:textId="77777777" w:rsidR="00EB1053" w:rsidRDefault="00EB1053" w:rsidP="00EB1053">
      <w:pPr>
        <w:pStyle w:val="ad"/>
        <w:numPr>
          <w:ilvl w:val="0"/>
          <w:numId w:val="1"/>
        </w:numPr>
        <w:spacing w:line="360" w:lineRule="auto"/>
        <w:jc w:val="both"/>
        <w:rPr>
          <w:rFonts w:ascii="Arial" w:hAnsi="Arial"/>
        </w:rPr>
      </w:pPr>
      <w:r>
        <w:rPr>
          <w:rFonts w:ascii="Arial" w:hAnsi="Arial"/>
          <w:rtl/>
        </w:rPr>
        <w:t xml:space="preserve">לאם הכנסה פנויה בסך של 6,100 ₪ אך זאת ללא כל חיובים בגין מגוריה למעט הוצאות החזקת הבית (מאחר והיא מתגוררת בבית בבעלותה) וללא כל הלוואות לצורך יצירת הכנסותיה. </w:t>
      </w:r>
    </w:p>
    <w:p w14:paraId="4EA977A4" w14:textId="77777777" w:rsidR="00C13531" w:rsidRPr="00C13531" w:rsidRDefault="00C13531" w:rsidP="00C13531">
      <w:pPr>
        <w:spacing w:line="360" w:lineRule="auto"/>
        <w:jc w:val="both"/>
        <w:rPr>
          <w:rFonts w:ascii="Arial" w:hAnsi="Arial"/>
          <w:b/>
          <w:bCs/>
          <w:u w:val="single"/>
        </w:rPr>
      </w:pPr>
      <w:r w:rsidRPr="00C13531">
        <w:rPr>
          <w:rFonts w:ascii="Arial" w:hAnsi="Arial" w:hint="cs"/>
          <w:b/>
          <w:bCs/>
          <w:u w:val="single"/>
          <w:rtl/>
        </w:rPr>
        <w:t>הכרעה</w:t>
      </w:r>
    </w:p>
    <w:p w14:paraId="565FC0EB" w14:textId="77777777" w:rsidR="00EB1053" w:rsidRDefault="00B32F9D" w:rsidP="00B32F9D">
      <w:pPr>
        <w:pStyle w:val="ad"/>
        <w:numPr>
          <w:ilvl w:val="0"/>
          <w:numId w:val="1"/>
        </w:numPr>
        <w:spacing w:line="360" w:lineRule="auto"/>
        <w:jc w:val="both"/>
        <w:rPr>
          <w:rFonts w:ascii="Arial" w:hAnsi="Arial"/>
          <w:b/>
          <w:bCs/>
        </w:rPr>
      </w:pPr>
      <w:r>
        <w:rPr>
          <w:rFonts w:ascii="Arial" w:hAnsi="Arial" w:hint="cs"/>
          <w:b/>
          <w:bCs/>
          <w:rtl/>
        </w:rPr>
        <w:t xml:space="preserve">נקבע לעיל כי </w:t>
      </w:r>
      <w:r w:rsidR="00EB1053" w:rsidRPr="00C13531">
        <w:rPr>
          <w:rFonts w:ascii="Arial" w:hAnsi="Arial"/>
          <w:b/>
          <w:bCs/>
          <w:rtl/>
        </w:rPr>
        <w:t>לאב הכנסה בסך של 13,000 ₪ אולם הוא נושא בעלות שכר דירה בסך ממוצע של 4,000 ₪, והחזרי הלוואות לצורך עסקו בסך</w:t>
      </w:r>
      <w:r w:rsidR="00A720C8" w:rsidRPr="00C13531">
        <w:rPr>
          <w:rFonts w:ascii="Arial" w:hAnsi="Arial" w:hint="cs"/>
          <w:b/>
          <w:bCs/>
          <w:rtl/>
        </w:rPr>
        <w:t xml:space="preserve"> של </w:t>
      </w:r>
      <w:r w:rsidR="00EB1053" w:rsidRPr="00C13531">
        <w:rPr>
          <w:rFonts w:ascii="Arial" w:hAnsi="Arial"/>
          <w:b/>
          <w:bCs/>
          <w:rtl/>
        </w:rPr>
        <w:t xml:space="preserve"> </w:t>
      </w:r>
      <w:r w:rsidR="00A720C8" w:rsidRPr="00C13531">
        <w:rPr>
          <w:rFonts w:ascii="Arial" w:hAnsi="Arial" w:hint="cs"/>
          <w:b/>
          <w:bCs/>
          <w:rtl/>
        </w:rPr>
        <w:t xml:space="preserve">3,000 </w:t>
      </w:r>
      <w:r w:rsidR="00EB1053" w:rsidRPr="00C13531">
        <w:rPr>
          <w:rFonts w:ascii="Arial" w:hAnsi="Arial"/>
          <w:b/>
          <w:bCs/>
          <w:rtl/>
        </w:rPr>
        <w:t>₪ ועל כן מעריך בית המשפט את הכנסתו הפנויה</w:t>
      </w:r>
      <w:r w:rsidR="005A08A1" w:rsidRPr="00C13531">
        <w:rPr>
          <w:rFonts w:ascii="Arial" w:hAnsi="Arial" w:hint="cs"/>
          <w:b/>
          <w:bCs/>
          <w:rtl/>
        </w:rPr>
        <w:t xml:space="preserve"> </w:t>
      </w:r>
      <w:r w:rsidR="00EB1053" w:rsidRPr="00C13531">
        <w:rPr>
          <w:rFonts w:ascii="Arial" w:hAnsi="Arial"/>
          <w:b/>
          <w:bCs/>
          <w:rtl/>
        </w:rPr>
        <w:t xml:space="preserve">לצורך תשלום מזונות הקטינים </w:t>
      </w:r>
      <w:r w:rsidR="005A08A1" w:rsidRPr="00C13531">
        <w:rPr>
          <w:rFonts w:ascii="Arial" w:hAnsi="Arial" w:hint="cs"/>
          <w:b/>
          <w:bCs/>
          <w:rtl/>
        </w:rPr>
        <w:t>ב</w:t>
      </w:r>
      <w:r w:rsidR="00EB1053" w:rsidRPr="00C13531">
        <w:rPr>
          <w:rFonts w:ascii="Arial" w:hAnsi="Arial"/>
          <w:b/>
          <w:bCs/>
          <w:rtl/>
        </w:rPr>
        <w:t>סך של 6,000 ₪ - סכום זהה להכנסתה הפנויה של האם</w:t>
      </w:r>
      <w:r w:rsidR="00EB1053" w:rsidRPr="00384D27">
        <w:rPr>
          <w:rFonts w:ascii="Arial" w:hAnsi="Arial"/>
          <w:rtl/>
        </w:rPr>
        <w:t>.</w:t>
      </w:r>
    </w:p>
    <w:p w14:paraId="3278D841" w14:textId="77777777" w:rsidR="00B32F9D" w:rsidRPr="00C13531" w:rsidRDefault="00B32F9D" w:rsidP="00B32F9D">
      <w:pPr>
        <w:pStyle w:val="ad"/>
        <w:spacing w:line="360" w:lineRule="auto"/>
        <w:jc w:val="both"/>
        <w:rPr>
          <w:rFonts w:ascii="Arial" w:hAnsi="Arial"/>
          <w:b/>
          <w:bCs/>
        </w:rPr>
      </w:pPr>
    </w:p>
    <w:p w14:paraId="610D0A21" w14:textId="77777777" w:rsidR="00EB1053" w:rsidRDefault="00EB1053" w:rsidP="00EB1053">
      <w:pPr>
        <w:spacing w:line="360" w:lineRule="auto"/>
        <w:jc w:val="both"/>
        <w:rPr>
          <w:rFonts w:ascii="Arial" w:hAnsi="Arial"/>
          <w:b/>
          <w:bCs/>
        </w:rPr>
      </w:pPr>
      <w:r>
        <w:rPr>
          <w:rFonts w:ascii="Arial" w:hAnsi="Arial" w:hint="cs"/>
          <w:b/>
          <w:bCs/>
          <w:rtl/>
        </w:rPr>
        <w:t>סוגיית קצבת התלויים עבור הקטינים במסגרת קצבת הנכות של האב</w:t>
      </w:r>
    </w:p>
    <w:p w14:paraId="4C4A8FFF" w14:textId="5B1E8834" w:rsidR="00EB1053" w:rsidRDefault="00EB1053" w:rsidP="00384D27">
      <w:pPr>
        <w:pStyle w:val="ad"/>
        <w:numPr>
          <w:ilvl w:val="0"/>
          <w:numId w:val="1"/>
        </w:numPr>
        <w:spacing w:line="360" w:lineRule="auto"/>
        <w:jc w:val="both"/>
        <w:rPr>
          <w:rFonts w:ascii="Arial" w:hAnsi="Arial"/>
          <w:rtl/>
        </w:rPr>
      </w:pPr>
      <w:r>
        <w:rPr>
          <w:rFonts w:ascii="Arial" w:hAnsi="Arial"/>
          <w:rtl/>
        </w:rPr>
        <w:t xml:space="preserve">לאור קביעת בית המשפט כי סכום המזונות הזמניים שנקבע הינו בגובה קצבת התלויים עבור הקטינים הקדישו הצדדים פרק נכבד מסיכומיהם בסוגיה זו. </w:t>
      </w:r>
    </w:p>
    <w:p w14:paraId="6382F4B7" w14:textId="77777777" w:rsidR="00EB1053" w:rsidRDefault="00EB1053" w:rsidP="00B32F9D">
      <w:pPr>
        <w:pStyle w:val="ad"/>
        <w:numPr>
          <w:ilvl w:val="0"/>
          <w:numId w:val="1"/>
        </w:numPr>
        <w:spacing w:line="360" w:lineRule="auto"/>
        <w:ind w:left="1440"/>
        <w:jc w:val="both"/>
        <w:rPr>
          <w:rFonts w:ascii="Arial" w:hAnsi="Arial"/>
          <w:b/>
          <w:bCs/>
          <w:rtl/>
        </w:rPr>
      </w:pPr>
      <w:r w:rsidRPr="00B32F9D">
        <w:rPr>
          <w:rFonts w:ascii="Arial" w:hAnsi="Arial"/>
          <w:rtl/>
        </w:rPr>
        <w:t xml:space="preserve">לטענת האם – </w:t>
      </w:r>
      <w:r w:rsidRPr="00B32F9D">
        <w:rPr>
          <w:rFonts w:ascii="Arial" w:hAnsi="Arial"/>
          <w:b/>
          <w:bCs/>
          <w:rtl/>
        </w:rPr>
        <w:t>מדובר בכספי הקטינים ולא בכספי האב</w:t>
      </w:r>
      <w:r w:rsidRPr="00B32F9D">
        <w:rPr>
          <w:rFonts w:ascii="Arial" w:hAnsi="Arial"/>
          <w:rtl/>
        </w:rPr>
        <w:t xml:space="preserve"> לאור המפורט בסעיף 200 ל</w:t>
      </w:r>
      <w:r w:rsidRPr="0077521D">
        <w:rPr>
          <w:rFonts w:ascii="Arial" w:hAnsi="Arial"/>
          <w:b/>
          <w:bCs/>
          <w:rtl/>
        </w:rPr>
        <w:t>חוק הביטוח הלאומי</w:t>
      </w:r>
      <w:r w:rsidR="0077521D" w:rsidRPr="0077521D">
        <w:rPr>
          <w:rFonts w:ascii="Arial" w:hAnsi="Arial" w:hint="cs"/>
          <w:b/>
          <w:bCs/>
          <w:rtl/>
        </w:rPr>
        <w:t xml:space="preserve"> [נוסח משולב] תשנ"ה </w:t>
      </w:r>
      <w:r w:rsidR="0077521D" w:rsidRPr="0077521D">
        <w:rPr>
          <w:rFonts w:ascii="Arial" w:hAnsi="Arial"/>
          <w:b/>
          <w:bCs/>
          <w:rtl/>
        </w:rPr>
        <w:t>–</w:t>
      </w:r>
      <w:r w:rsidR="0077521D" w:rsidRPr="0077521D">
        <w:rPr>
          <w:rFonts w:ascii="Arial" w:hAnsi="Arial" w:hint="cs"/>
          <w:b/>
          <w:bCs/>
          <w:rtl/>
        </w:rPr>
        <w:t xml:space="preserve"> </w:t>
      </w:r>
      <w:r w:rsidR="0077521D">
        <w:rPr>
          <w:rFonts w:ascii="Arial" w:hAnsi="Arial" w:hint="cs"/>
          <w:b/>
          <w:bCs/>
          <w:rtl/>
        </w:rPr>
        <w:t>1995.</w:t>
      </w:r>
      <w:r>
        <w:rPr>
          <w:rFonts w:ascii="Arial" w:hAnsi="Arial" w:hint="cs"/>
          <w:b/>
          <w:bCs/>
          <w:rtl/>
        </w:rPr>
        <w:t xml:space="preserve"> </w:t>
      </w:r>
    </w:p>
    <w:p w14:paraId="31F2EA78" w14:textId="77777777" w:rsidR="00EB1053" w:rsidRDefault="00EB1053" w:rsidP="005A08A1">
      <w:pPr>
        <w:pStyle w:val="ad"/>
        <w:numPr>
          <w:ilvl w:val="0"/>
          <w:numId w:val="1"/>
        </w:numPr>
        <w:spacing w:line="360" w:lineRule="auto"/>
        <w:jc w:val="both"/>
        <w:rPr>
          <w:rFonts w:ascii="Arial" w:hAnsi="Arial"/>
          <w:rtl/>
        </w:rPr>
      </w:pPr>
      <w:r>
        <w:rPr>
          <w:rFonts w:ascii="Arial" w:hAnsi="Arial"/>
          <w:rtl/>
        </w:rPr>
        <w:t>ב"כ האב בסיכומיו טען כי מדובר ב</w:t>
      </w:r>
      <w:r w:rsidRPr="005A08A1">
        <w:rPr>
          <w:rFonts w:ascii="Arial" w:hAnsi="Arial"/>
          <w:b/>
          <w:bCs/>
          <w:rtl/>
        </w:rPr>
        <w:t xml:space="preserve">זכות אישית </w:t>
      </w:r>
      <w:r>
        <w:rPr>
          <w:rFonts w:ascii="Arial" w:hAnsi="Arial"/>
          <w:rtl/>
        </w:rPr>
        <w:t>של האב הניתנת לו על מנת לסייע לו בפרנסת ילדיו</w:t>
      </w:r>
      <w:r w:rsidR="005A08A1">
        <w:rPr>
          <w:rFonts w:ascii="Arial" w:hAnsi="Arial" w:hint="cs"/>
          <w:rtl/>
        </w:rPr>
        <w:t>.</w:t>
      </w:r>
      <w:r>
        <w:rPr>
          <w:rFonts w:ascii="Arial" w:hAnsi="Arial"/>
          <w:rtl/>
        </w:rPr>
        <w:t xml:space="preserve"> </w:t>
      </w:r>
    </w:p>
    <w:p w14:paraId="4F19DD34" w14:textId="77777777" w:rsidR="00EB1053" w:rsidRDefault="00EB1053" w:rsidP="00EB1053">
      <w:pPr>
        <w:spacing w:line="360" w:lineRule="auto"/>
        <w:jc w:val="both"/>
        <w:rPr>
          <w:rFonts w:ascii="Arial" w:hAnsi="Arial"/>
          <w:b/>
          <w:bCs/>
          <w:u w:val="single"/>
        </w:rPr>
      </w:pPr>
      <w:r>
        <w:rPr>
          <w:rFonts w:ascii="Arial" w:hAnsi="Arial" w:hint="cs"/>
          <w:b/>
          <w:bCs/>
          <w:u w:val="single"/>
          <w:rtl/>
        </w:rPr>
        <w:lastRenderedPageBreak/>
        <w:t>המסגרת הנורמטיבית</w:t>
      </w:r>
    </w:p>
    <w:p w14:paraId="2E47E50A" w14:textId="77777777" w:rsidR="00EB1053" w:rsidRDefault="00EB1053" w:rsidP="00EB1053">
      <w:pPr>
        <w:pStyle w:val="ad"/>
        <w:numPr>
          <w:ilvl w:val="0"/>
          <w:numId w:val="1"/>
        </w:numPr>
        <w:spacing w:line="360" w:lineRule="auto"/>
        <w:jc w:val="both"/>
        <w:rPr>
          <w:rFonts w:ascii="Arial" w:hAnsi="Arial"/>
          <w:rtl/>
        </w:rPr>
      </w:pPr>
      <w:r>
        <w:rPr>
          <w:rFonts w:ascii="Arial" w:hAnsi="Arial"/>
          <w:rtl/>
        </w:rPr>
        <w:t xml:space="preserve">על בית המשפט לבחון את מהות קצבת התלויים המשולמת עבור הקטינים לידי האב מהמוסד לביטוח לאומי. </w:t>
      </w:r>
    </w:p>
    <w:p w14:paraId="172A7F9C" w14:textId="6855F9D9" w:rsidR="00EB1053" w:rsidRDefault="00EB1053" w:rsidP="00EB1053">
      <w:pPr>
        <w:pStyle w:val="ad"/>
        <w:numPr>
          <w:ilvl w:val="0"/>
          <w:numId w:val="1"/>
        </w:numPr>
        <w:spacing w:line="360" w:lineRule="auto"/>
        <w:jc w:val="both"/>
        <w:rPr>
          <w:rFonts w:ascii="Arial" w:hAnsi="Arial"/>
        </w:rPr>
      </w:pPr>
      <w:r>
        <w:rPr>
          <w:rFonts w:ascii="Arial" w:hAnsi="Arial"/>
          <w:rtl/>
        </w:rPr>
        <w:t xml:space="preserve">בעמ"ש </w:t>
      </w:r>
      <w:r>
        <w:rPr>
          <w:rFonts w:ascii="Arial" w:hAnsi="Arial"/>
          <w:b/>
          <w:bCs/>
          <w:rtl/>
        </w:rPr>
        <w:t xml:space="preserve">(מחוזי חיפה) 51826-11-12 א.ג נ' מ.ג </w:t>
      </w:r>
      <w:r>
        <w:rPr>
          <w:rFonts w:ascii="Arial" w:hAnsi="Arial"/>
          <w:rtl/>
        </w:rPr>
        <w:t xml:space="preserve">(נבו 9.10.2013) קבע בית המשפט המחוזי כך: </w:t>
      </w:r>
    </w:p>
    <w:p w14:paraId="546E4861" w14:textId="77777777" w:rsidR="00EB1053" w:rsidRDefault="00EB1053" w:rsidP="00EB1053">
      <w:pPr>
        <w:pStyle w:val="ad"/>
        <w:spacing w:line="360" w:lineRule="auto"/>
        <w:ind w:left="1440"/>
        <w:jc w:val="both"/>
        <w:rPr>
          <w:rFonts w:ascii="Arial" w:hAnsi="Arial"/>
          <w:b/>
          <w:bCs/>
        </w:rPr>
      </w:pPr>
      <w:r>
        <w:rPr>
          <w:rFonts w:ascii="Arial" w:hAnsi="Arial"/>
          <w:rtl/>
        </w:rPr>
        <w:t>"</w:t>
      </w:r>
      <w:r>
        <w:rPr>
          <w:rFonts w:ascii="Arial" w:hAnsi="Arial"/>
          <w:b/>
          <w:bCs/>
          <w:rtl/>
        </w:rPr>
        <w:t>למעשה יש לראות בתשלום קצבת התלויים במקרה כזה כסיוע לאב הנכה, המוגבל בפרנסתו עקב נכותו, לזון את ילדיו ולמלא את צרכיהם ההכרחיים. לפיכך, ראוי לנכות קצבה זו מסכום המזונות בו מחוייב האב. ראו ברוח זו דבריו של כב' השופט י. גייפמן: " כאשר תוספת הילדים בקיצבת הנכות של האב - החייב במזונות, משולמת לידי האם המשמורנית - יש לנכות את תוספת הילדים משיעור מזונות הילדים בו יחויב האב" (תמש 5542/96 חנימוב נ. חנימוב [פורסם בנבו] (2001) הדגשה שלי י.ו). וכן ראו דבריו של כב' השופט א. זגורי בתמ"ש 55922-10-10 ד.פ. ואח' נ' ע.פ. [פורסם בנבו] (2011): "כאמור בפסק דין חנימוב לעיל, הכלל הוא כי בכל מקום שנפסקים מזונות (אשה או קטינים) לחובתו של אב נכה, תוספת הילדים בקצבת הנכות של האב תנוכה משיעור המזונות שבו יחוייב האב עבור הילדים"(פיסקה 67) (הדגשה שלי י.ו).</w:t>
      </w:r>
      <w:r w:rsidRPr="00384D27">
        <w:rPr>
          <w:rFonts w:ascii="Arial" w:hAnsi="Arial"/>
          <w:rtl/>
        </w:rPr>
        <w:t>"</w:t>
      </w:r>
    </w:p>
    <w:p w14:paraId="25DBA0BC" w14:textId="77777777" w:rsidR="00EB1053" w:rsidRDefault="00EB1053" w:rsidP="00EB1053">
      <w:pPr>
        <w:pStyle w:val="ad"/>
        <w:numPr>
          <w:ilvl w:val="0"/>
          <w:numId w:val="1"/>
        </w:numPr>
        <w:spacing w:line="360" w:lineRule="auto"/>
        <w:jc w:val="both"/>
        <w:rPr>
          <w:rFonts w:ascii="Arial" w:hAnsi="Arial"/>
          <w:b/>
          <w:bCs/>
          <w:rtl/>
        </w:rPr>
      </w:pPr>
      <w:r>
        <w:rPr>
          <w:rFonts w:ascii="Arial" w:hAnsi="Arial"/>
          <w:b/>
          <w:bCs/>
          <w:rtl/>
        </w:rPr>
        <w:t xml:space="preserve">וראה גם עמ"ש (מחוזי חיפה) 7011-08-13 ג.ג נ' נ.ג </w:t>
      </w:r>
      <w:r>
        <w:rPr>
          <w:rFonts w:ascii="Arial" w:hAnsi="Arial"/>
          <w:rtl/>
        </w:rPr>
        <w:t>(נבו 12.1.2014)</w:t>
      </w:r>
      <w:r>
        <w:rPr>
          <w:rFonts w:ascii="Arial" w:hAnsi="Arial"/>
          <w:b/>
          <w:bCs/>
          <w:rtl/>
        </w:rPr>
        <w:t xml:space="preserve"> </w:t>
      </w:r>
      <w:r>
        <w:rPr>
          <w:rFonts w:ascii="Arial" w:hAnsi="Arial"/>
          <w:rtl/>
        </w:rPr>
        <w:t>והאסמכתאות שם.</w:t>
      </w:r>
    </w:p>
    <w:p w14:paraId="75B20A8F" w14:textId="77777777" w:rsidR="00EB1053" w:rsidRDefault="00EB1053" w:rsidP="00EB1053">
      <w:pPr>
        <w:pStyle w:val="ad"/>
        <w:numPr>
          <w:ilvl w:val="0"/>
          <w:numId w:val="1"/>
        </w:numPr>
        <w:spacing w:line="360" w:lineRule="auto"/>
        <w:jc w:val="both"/>
        <w:rPr>
          <w:rFonts w:ascii="Arial" w:hAnsi="Arial"/>
          <w:b/>
          <w:bCs/>
        </w:rPr>
      </w:pPr>
      <w:r>
        <w:rPr>
          <w:rFonts w:ascii="Arial" w:hAnsi="Arial"/>
          <w:rtl/>
        </w:rPr>
        <w:t>ואכן קצבת תלויים מיועדת לסייע להורה הנכה לשאת בהוצאות הקטינים ואין מדובר בכספי קטינים כלל וראה לעניין זה פסק דינו של בית המשפט המחוזי מרכז שניתן לאחרונה</w:t>
      </w:r>
      <w:r>
        <w:rPr>
          <w:rFonts w:ascii="Arial" w:hAnsi="Arial"/>
          <w:b/>
          <w:bCs/>
          <w:rtl/>
        </w:rPr>
        <w:t xml:space="preserve"> בעמ"ש (מחוזי מרכז) 54180-07-23 ש. א. י נ' נ. י </w:t>
      </w:r>
      <w:r>
        <w:rPr>
          <w:rFonts w:ascii="Arial" w:hAnsi="Arial"/>
          <w:rtl/>
        </w:rPr>
        <w:t>(נבו 7.5.2024)</w:t>
      </w:r>
      <w:r w:rsidRPr="00384D27">
        <w:rPr>
          <w:rFonts w:ascii="Arial" w:hAnsi="Arial"/>
          <w:rtl/>
        </w:rPr>
        <w:t>.</w:t>
      </w:r>
    </w:p>
    <w:p w14:paraId="4A4C0DFA" w14:textId="77777777" w:rsidR="00EB1053" w:rsidRDefault="00C13531" w:rsidP="00C13531">
      <w:pPr>
        <w:spacing w:line="360" w:lineRule="auto"/>
        <w:jc w:val="both"/>
        <w:rPr>
          <w:rFonts w:ascii="Arial" w:hAnsi="Arial"/>
          <w:b/>
          <w:bCs/>
          <w:u w:val="single"/>
        </w:rPr>
      </w:pPr>
      <w:r>
        <w:rPr>
          <w:rFonts w:ascii="Arial" w:hAnsi="Arial" w:hint="cs"/>
          <w:b/>
          <w:bCs/>
          <w:u w:val="single"/>
          <w:rtl/>
        </w:rPr>
        <w:t>סיכום</w:t>
      </w:r>
    </w:p>
    <w:p w14:paraId="62C11DBD" w14:textId="77777777" w:rsidR="00EB1053" w:rsidRDefault="00EB1053" w:rsidP="00EB1053">
      <w:pPr>
        <w:pStyle w:val="ad"/>
        <w:numPr>
          <w:ilvl w:val="0"/>
          <w:numId w:val="1"/>
        </w:numPr>
        <w:spacing w:line="360" w:lineRule="auto"/>
        <w:jc w:val="both"/>
        <w:rPr>
          <w:rFonts w:ascii="Arial" w:hAnsi="Arial"/>
          <w:rtl/>
        </w:rPr>
      </w:pPr>
      <w:r>
        <w:rPr>
          <w:rFonts w:ascii="Arial" w:hAnsi="Arial"/>
          <w:rtl/>
        </w:rPr>
        <w:t>בפניי שני הורים מסורים הדואגים לצרכי ילדיהם, שהכנסותיה</w:t>
      </w:r>
      <w:r w:rsidR="005A08A1">
        <w:rPr>
          <w:rFonts w:ascii="Arial" w:hAnsi="Arial" w:hint="cs"/>
          <w:rtl/>
        </w:rPr>
        <w:t>ם</w:t>
      </w:r>
      <w:r>
        <w:rPr>
          <w:rFonts w:ascii="Arial" w:hAnsi="Arial"/>
          <w:rtl/>
        </w:rPr>
        <w:t xml:space="preserve"> הפנויות זהות וזמני השהות שוויוניים. </w:t>
      </w:r>
    </w:p>
    <w:p w14:paraId="259EC769" w14:textId="77777777" w:rsidR="00EB1053" w:rsidRDefault="00EB1053" w:rsidP="00EB1053">
      <w:pPr>
        <w:pStyle w:val="ad"/>
        <w:numPr>
          <w:ilvl w:val="0"/>
          <w:numId w:val="1"/>
        </w:numPr>
        <w:spacing w:line="360" w:lineRule="auto"/>
        <w:jc w:val="both"/>
        <w:rPr>
          <w:rFonts w:ascii="Arial" w:hAnsi="Arial"/>
        </w:rPr>
      </w:pPr>
      <w:r>
        <w:rPr>
          <w:rFonts w:ascii="Arial" w:hAnsi="Arial"/>
          <w:rtl/>
        </w:rPr>
        <w:lastRenderedPageBreak/>
        <w:t xml:space="preserve">על פי קביעתי דלעיל, ההכנסות הפנויות של הצדדים הינן זהות כאשר בית משפט זה לוקח בחשבון את מצבה הכלכלי של האם אל מול מצבו הכלכלי של האב. </w:t>
      </w:r>
    </w:p>
    <w:p w14:paraId="5754C243" w14:textId="77777777" w:rsidR="00EB1053" w:rsidRDefault="00EB1053" w:rsidP="00EB1053">
      <w:pPr>
        <w:pStyle w:val="ad"/>
        <w:numPr>
          <w:ilvl w:val="0"/>
          <w:numId w:val="1"/>
        </w:numPr>
        <w:spacing w:line="360" w:lineRule="auto"/>
        <w:jc w:val="both"/>
        <w:rPr>
          <w:rFonts w:ascii="Arial" w:hAnsi="Arial"/>
        </w:rPr>
      </w:pPr>
      <w:r>
        <w:rPr>
          <w:rFonts w:ascii="Arial" w:hAnsi="Arial"/>
          <w:rtl/>
        </w:rPr>
        <w:t xml:space="preserve">מדובר בשני ילדים מעל גיל 6 השוהים כאמור בזמני שהות שוויוניים אצל כל אחד מההורים. </w:t>
      </w:r>
    </w:p>
    <w:p w14:paraId="69AD6A3D" w14:textId="062B5056" w:rsidR="00EB1053" w:rsidRDefault="00EB1053" w:rsidP="003C2DA2">
      <w:pPr>
        <w:pStyle w:val="ad"/>
        <w:numPr>
          <w:ilvl w:val="0"/>
          <w:numId w:val="1"/>
        </w:numPr>
        <w:spacing w:line="360" w:lineRule="auto"/>
        <w:jc w:val="both"/>
        <w:rPr>
          <w:rFonts w:ascii="Arial" w:hAnsi="Arial"/>
        </w:rPr>
      </w:pPr>
      <w:r>
        <w:rPr>
          <w:rFonts w:ascii="Arial" w:hAnsi="Arial"/>
          <w:rtl/>
        </w:rPr>
        <w:t>לפיכך, ועל פי ההלכות הרבות שניתנו בסוגיה זו</w:t>
      </w:r>
      <w:r w:rsidR="003C2DA2">
        <w:rPr>
          <w:rFonts w:ascii="Arial" w:hAnsi="Arial" w:hint="cs"/>
          <w:rtl/>
        </w:rPr>
        <w:t>,</w:t>
      </w:r>
      <w:r>
        <w:rPr>
          <w:rFonts w:ascii="Arial" w:hAnsi="Arial"/>
          <w:rtl/>
        </w:rPr>
        <w:t xml:space="preserve"> </w:t>
      </w:r>
      <w:r w:rsidR="003C2DA2">
        <w:rPr>
          <w:rFonts w:ascii="Arial" w:hAnsi="Arial" w:hint="cs"/>
          <w:rtl/>
        </w:rPr>
        <w:t xml:space="preserve">וראה לעניין זה </w:t>
      </w:r>
      <w:r w:rsidR="003C2DA2" w:rsidRPr="003C2DA2">
        <w:rPr>
          <w:rFonts w:ascii="Arial" w:hAnsi="Arial"/>
          <w:b/>
          <w:bCs/>
          <w:rtl/>
        </w:rPr>
        <w:t xml:space="preserve">עמ"ש (מחוזי מרכז) 2528-11-22 ש. א. כ נ' ד. מ. כ </w:t>
      </w:r>
      <w:r w:rsidR="003C2DA2" w:rsidRPr="003C2DA2">
        <w:rPr>
          <w:rFonts w:ascii="Arial" w:hAnsi="Arial"/>
          <w:rtl/>
        </w:rPr>
        <w:t>(נבו 24.6.2024)</w:t>
      </w:r>
      <w:r w:rsidR="003C2DA2">
        <w:rPr>
          <w:rFonts w:ascii="Arial" w:hAnsi="Arial" w:hint="cs"/>
          <w:rtl/>
        </w:rPr>
        <w:t xml:space="preserve"> שם אושר קביעתו של בית המשפט לענייני משפחה שלא לחייב את האב במזונות של ילדיו שהם מעל גיל שש </w:t>
      </w:r>
      <w:r>
        <w:rPr>
          <w:rFonts w:ascii="Arial" w:hAnsi="Arial"/>
          <w:rtl/>
        </w:rPr>
        <w:t xml:space="preserve">– </w:t>
      </w:r>
      <w:r w:rsidRPr="003C2DA2">
        <w:rPr>
          <w:rFonts w:ascii="Arial" w:hAnsi="Arial"/>
          <w:b/>
          <w:bCs/>
          <w:rtl/>
        </w:rPr>
        <w:t>החל ממועד מתן פסק דין זה</w:t>
      </w:r>
      <w:r>
        <w:rPr>
          <w:rFonts w:ascii="Arial" w:hAnsi="Arial"/>
          <w:rtl/>
        </w:rPr>
        <w:t xml:space="preserve"> אני מורה כי כל הורה יישא בהוצאות הקטינים כאשר הם שוהים עמו והצדדים יישאו </w:t>
      </w:r>
      <w:r w:rsidRPr="005A08A1">
        <w:rPr>
          <w:rFonts w:ascii="Arial" w:hAnsi="Arial"/>
          <w:b/>
          <w:bCs/>
          <w:rtl/>
        </w:rPr>
        <w:t>שווה בשווה</w:t>
      </w:r>
      <w:r>
        <w:rPr>
          <w:rFonts w:ascii="Arial" w:hAnsi="Arial"/>
          <w:rtl/>
        </w:rPr>
        <w:t xml:space="preserve"> בהוצאות שאינן תלויות שהות לרבות הוצאות חינוך ורפואה חריגות.</w:t>
      </w:r>
    </w:p>
    <w:p w14:paraId="52160D63" w14:textId="77777777" w:rsidR="00EB1053" w:rsidRDefault="00EB1053" w:rsidP="00EB1053">
      <w:pPr>
        <w:spacing w:line="360" w:lineRule="auto"/>
        <w:jc w:val="both"/>
        <w:rPr>
          <w:rFonts w:ascii="Arial" w:hAnsi="Arial"/>
          <w:b/>
          <w:bCs/>
        </w:rPr>
      </w:pPr>
      <w:r>
        <w:rPr>
          <w:rFonts w:ascii="Arial" w:hAnsi="Arial" w:hint="cs"/>
          <w:b/>
          <w:bCs/>
          <w:rtl/>
        </w:rPr>
        <w:t>האם יש מקום להיעתר לעתירת האב ולבטל רטרואקטיבית אל חיובו במזונות הקטינים</w:t>
      </w:r>
    </w:p>
    <w:p w14:paraId="330C7325" w14:textId="77777777" w:rsidR="00EB1053" w:rsidRDefault="00EB1053" w:rsidP="00EB1053">
      <w:pPr>
        <w:pStyle w:val="ad"/>
        <w:numPr>
          <w:ilvl w:val="0"/>
          <w:numId w:val="1"/>
        </w:numPr>
        <w:spacing w:line="360" w:lineRule="auto"/>
        <w:jc w:val="both"/>
        <w:rPr>
          <w:rFonts w:ascii="Arial" w:hAnsi="Arial"/>
          <w:rtl/>
        </w:rPr>
      </w:pPr>
      <w:r>
        <w:rPr>
          <w:rFonts w:ascii="Arial" w:hAnsi="Arial"/>
          <w:rtl/>
        </w:rPr>
        <w:t xml:space="preserve">האב עתר בסיכומיו לבטל את דמי המזונות שנקבעו בהחלטה שניתנה ביום 22.3.22. במסגרת החלטה זו חויב האב במזונות הקטינים בגובה קצבת התלויים המשולמת לידיו על ידי המוסד לביטוח לאומי, סכום אשר עמד אז על סך של 1,900 ₪ לחודש. </w:t>
      </w:r>
    </w:p>
    <w:p w14:paraId="7FAA26A8" w14:textId="77777777" w:rsidR="00EB1053" w:rsidRDefault="00EB1053" w:rsidP="00EB1053">
      <w:pPr>
        <w:spacing w:line="360" w:lineRule="auto"/>
        <w:jc w:val="both"/>
        <w:rPr>
          <w:rFonts w:ascii="Arial" w:hAnsi="Arial"/>
          <w:b/>
          <w:bCs/>
          <w:u w:val="single"/>
        </w:rPr>
      </w:pPr>
      <w:r>
        <w:rPr>
          <w:rFonts w:ascii="Arial" w:hAnsi="Arial" w:hint="cs"/>
          <w:b/>
          <w:bCs/>
          <w:u w:val="single"/>
          <w:rtl/>
        </w:rPr>
        <w:t>דיון</w:t>
      </w:r>
    </w:p>
    <w:p w14:paraId="3D9A0187" w14:textId="69FC1659" w:rsidR="00EB1053" w:rsidRDefault="00EB1053" w:rsidP="00EB1053">
      <w:pPr>
        <w:pStyle w:val="ad"/>
        <w:numPr>
          <w:ilvl w:val="0"/>
          <w:numId w:val="1"/>
        </w:numPr>
        <w:spacing w:line="360" w:lineRule="auto"/>
        <w:jc w:val="both"/>
        <w:rPr>
          <w:rFonts w:ascii="Arial" w:hAnsi="Arial"/>
          <w:rtl/>
        </w:rPr>
      </w:pPr>
      <w:r>
        <w:rPr>
          <w:rFonts w:ascii="Arial" w:hAnsi="Arial"/>
          <w:rtl/>
        </w:rPr>
        <w:t>מחד</w:t>
      </w:r>
      <w:r w:rsidR="00384D27">
        <w:rPr>
          <w:rFonts w:ascii="Arial" w:hAnsi="Arial" w:hint="cs"/>
          <w:rtl/>
        </w:rPr>
        <w:t xml:space="preserve"> גיסא</w:t>
      </w:r>
      <w:r>
        <w:rPr>
          <w:rFonts w:ascii="Arial" w:hAnsi="Arial"/>
          <w:rtl/>
        </w:rPr>
        <w:t xml:space="preserve">, נטיית בתי המשפט הינה שלא לבטל רטרואקטיבית חיוב במזונות ששולמו לידי הורה בגין מזונות קטינים. ולעניין זה נפסק </w:t>
      </w:r>
      <w:r>
        <w:rPr>
          <w:rFonts w:ascii="Arial" w:hAnsi="Arial"/>
          <w:b/>
          <w:bCs/>
          <w:rtl/>
        </w:rPr>
        <w:t xml:space="preserve">ברמ"ש (מחוזי י-ם) 43377-03-13 פ' נ' פ' </w:t>
      </w:r>
      <w:r>
        <w:rPr>
          <w:rFonts w:ascii="Arial" w:hAnsi="Arial"/>
          <w:rtl/>
        </w:rPr>
        <w:t>[פורסם בנבו] (30.9.13)‏‏:</w:t>
      </w:r>
    </w:p>
    <w:p w14:paraId="583973AE" w14:textId="77777777" w:rsidR="00EB1053" w:rsidRDefault="00EB1053" w:rsidP="00EB1053">
      <w:pPr>
        <w:pStyle w:val="ad"/>
        <w:spacing w:line="360" w:lineRule="auto"/>
        <w:ind w:left="1440"/>
        <w:jc w:val="both"/>
        <w:rPr>
          <w:rFonts w:ascii="Arial" w:hAnsi="Arial"/>
          <w:b/>
          <w:bCs/>
        </w:rPr>
      </w:pPr>
      <w:r w:rsidRPr="00384D27">
        <w:rPr>
          <w:rFonts w:ascii="Arial" w:hAnsi="Arial"/>
          <w:rtl/>
        </w:rPr>
        <w:t>"</w:t>
      </w:r>
      <w:r>
        <w:rPr>
          <w:rFonts w:ascii="Arial" w:hAnsi="Arial"/>
          <w:b/>
          <w:bCs/>
          <w:rtl/>
        </w:rPr>
        <w:t xml:space="preserve">...שאלת ההשבה נתונה לשיקול דעתו של בית המשפט, וכי בדרך כלל, אם ניתן להסיק כי כספי המזונות "כבר נאכלו", כך שחיובה של האישה להחזיר כספים אלה בשלב מאוחר יותר עלול לגרום לפגיעה כלכלית, לא יורה בית המשפט על השבת הכספים האמורים. השוו, לדוגמא, דבריו דלהלן של השופט פורת בעמ"מ 95/97, 98/97 כדורי נ' כדורי (16.12.97): </w:t>
      </w:r>
    </w:p>
    <w:p w14:paraId="2F17B9AC" w14:textId="77777777" w:rsidR="00EB1053" w:rsidRDefault="00EB1053" w:rsidP="00EB1053">
      <w:pPr>
        <w:pStyle w:val="ad"/>
        <w:spacing w:line="360" w:lineRule="auto"/>
        <w:ind w:left="2160"/>
        <w:jc w:val="both"/>
        <w:rPr>
          <w:rFonts w:ascii="Arial" w:hAnsi="Arial"/>
          <w:b/>
          <w:bCs/>
          <w:rtl/>
        </w:rPr>
      </w:pPr>
      <w:r>
        <w:rPr>
          <w:rFonts w:ascii="Arial" w:hAnsi="Arial"/>
          <w:b/>
          <w:bCs/>
          <w:rtl/>
        </w:rPr>
        <w:lastRenderedPageBreak/>
        <w:t>"...גם לגבי מזונות אישה היו לא מעט מקרים בהם קבע בית המשפט כי לא סביר ולא הוגן לחייב אישה להחזיר מזונות שנפסקו לזכותה בעבר, בסכום גבוה מן הראוי... החזר המזונות הוא איפה בשיקול דעת בית המשפט וזה ישקול את כל הנסיבות, לרבות אם מדובר במזונות אישה או ילדים, האם המזונות כבר נאכלו, האם ההחזר לא יפגע בקיום הילדים, או האישה, האם סביר בנסיבות העניין לצוות על ההחזר, האם הוא צודק, האם מדובר בסכומים גדולים ובמקרה כזה האם הם שולמו בפועל או טרם שולמו וכיוצ"ב." קביעה זו של השופט פורת גם משתלבת היטב עם הוראות סעיף 2 לחוק עשיית עושר ולא במשפט, התשל"ט – 1979, לפיו, גם אילו הייתה קיימת עקרונית עילת השבה לפי החוק האמור, קרי, אילו היה בית משפט מסיק כי האישה קיבלה את טובת ההנאה בדמות המזונות ששולמו לה, "שלא על פי זכות שבדין" (וספק רב אם ניתן כלל להגיע למסקנה כזו במקרה דנן, כל עוד שכספי המזונות שולמו לאישה מכוח חבות הבעל במזונות על פי חוק המדינה ולפי הדין האישי החל עליו), הרי שגם אז, לפי סעיף 2 לחוק האמור, רשאי בית המשפט לפטור את "הזוכה" מחובת השבה, "אם ראה... נסיבות אחרות העושות את ההשבה בלתי צודקת""."</w:t>
      </w:r>
    </w:p>
    <w:p w14:paraId="3C3ABEB2" w14:textId="0360E685" w:rsidR="00EB1053" w:rsidRDefault="00EB1053" w:rsidP="00EB1053">
      <w:pPr>
        <w:pStyle w:val="ad"/>
        <w:numPr>
          <w:ilvl w:val="0"/>
          <w:numId w:val="1"/>
        </w:numPr>
        <w:spacing w:line="360" w:lineRule="auto"/>
        <w:jc w:val="both"/>
        <w:rPr>
          <w:rFonts w:ascii="Arial" w:hAnsi="Arial"/>
        </w:rPr>
      </w:pPr>
      <w:r>
        <w:rPr>
          <w:rFonts w:ascii="Arial" w:hAnsi="Arial"/>
          <w:rtl/>
        </w:rPr>
        <w:t>מאידך</w:t>
      </w:r>
      <w:r w:rsidR="00384D27">
        <w:rPr>
          <w:rFonts w:ascii="Arial" w:hAnsi="Arial" w:hint="cs"/>
          <w:rtl/>
        </w:rPr>
        <w:t xml:space="preserve"> גיסא</w:t>
      </w:r>
      <w:r>
        <w:rPr>
          <w:rFonts w:ascii="Arial" w:hAnsi="Arial"/>
          <w:rtl/>
        </w:rPr>
        <w:t xml:space="preserve">, אין ספק כי התמונה בסוף ההליך שונה בתכלית לזו שעלתה מכתבי טענות הצדדים בתחילתו בין היתר לאור הסכם הגירושין החלקי אשר קבע את איזון המשאבים בין הצדדים ואת מצבם הכלכלי מאותו מועד ואילך. </w:t>
      </w:r>
    </w:p>
    <w:p w14:paraId="34B289E2" w14:textId="77777777" w:rsidR="00EB1053" w:rsidRDefault="005A08A1" w:rsidP="00EB1053">
      <w:pPr>
        <w:pStyle w:val="ad"/>
        <w:numPr>
          <w:ilvl w:val="0"/>
          <w:numId w:val="1"/>
        </w:numPr>
        <w:spacing w:line="360" w:lineRule="auto"/>
        <w:jc w:val="both"/>
        <w:rPr>
          <w:rFonts w:ascii="Arial" w:hAnsi="Arial"/>
        </w:rPr>
      </w:pPr>
      <w:r>
        <w:rPr>
          <w:rFonts w:ascii="Arial" w:hAnsi="Arial"/>
          <w:rtl/>
        </w:rPr>
        <w:t xml:space="preserve">בהתאם למפורט בפסיקה, </w:t>
      </w:r>
      <w:r>
        <w:rPr>
          <w:rFonts w:ascii="Arial" w:hAnsi="Arial" w:hint="cs"/>
          <w:rtl/>
        </w:rPr>
        <w:t>על בית המשפט ל</w:t>
      </w:r>
      <w:r w:rsidR="00EB1053">
        <w:rPr>
          <w:rFonts w:ascii="Arial" w:hAnsi="Arial"/>
          <w:rtl/>
        </w:rPr>
        <w:t xml:space="preserve">התחשב בסכום שבית המשפט מורה להשיב, במצבה הכלכלי של האם מול מצבו הכלכלי של האב ולאחר שאין כל ספק כי </w:t>
      </w:r>
      <w:r>
        <w:rPr>
          <w:rFonts w:ascii="Arial" w:hAnsi="Arial" w:hint="cs"/>
          <w:rtl/>
        </w:rPr>
        <w:t xml:space="preserve">במקרה שבפניי </w:t>
      </w:r>
      <w:r w:rsidR="00EB1053">
        <w:rPr>
          <w:rFonts w:ascii="Arial" w:hAnsi="Arial"/>
          <w:rtl/>
        </w:rPr>
        <w:t>ההשבה לא תפגע בסיפוק צרכיהם של הילדים או האם, אני מורה על השבה חלקית של התשלום שנקבע בהחלטתי מיום  22.3.22 כדלהלן:</w:t>
      </w:r>
    </w:p>
    <w:p w14:paraId="40606710" w14:textId="49E328B1" w:rsidR="00EB1053" w:rsidRDefault="00EB1053" w:rsidP="00EB1053">
      <w:pPr>
        <w:pStyle w:val="ad"/>
        <w:numPr>
          <w:ilvl w:val="0"/>
          <w:numId w:val="1"/>
        </w:numPr>
        <w:spacing w:line="360" w:lineRule="auto"/>
        <w:jc w:val="both"/>
        <w:rPr>
          <w:rFonts w:ascii="Arial" w:hAnsi="Arial"/>
        </w:rPr>
      </w:pPr>
      <w:r>
        <w:rPr>
          <w:rFonts w:ascii="Arial" w:hAnsi="Arial"/>
          <w:rtl/>
        </w:rPr>
        <w:lastRenderedPageBreak/>
        <w:t>החל מיום</w:t>
      </w:r>
      <w:r w:rsidRPr="005A08A1">
        <w:rPr>
          <w:rFonts w:ascii="Arial" w:hAnsi="Arial"/>
          <w:b/>
          <w:bCs/>
          <w:rtl/>
        </w:rPr>
        <w:t xml:space="preserve"> 9.1.23</w:t>
      </w:r>
      <w:r>
        <w:rPr>
          <w:rFonts w:ascii="Arial" w:hAnsi="Arial"/>
          <w:rtl/>
        </w:rPr>
        <w:t xml:space="preserve"> – מועד </w:t>
      </w:r>
      <w:r w:rsidR="00384D27">
        <w:rPr>
          <w:rFonts w:ascii="Arial" w:hAnsi="Arial" w:hint="cs"/>
          <w:rtl/>
        </w:rPr>
        <w:t>ש</w:t>
      </w:r>
      <w:r>
        <w:rPr>
          <w:rFonts w:ascii="Arial" w:hAnsi="Arial"/>
          <w:rtl/>
        </w:rPr>
        <w:t xml:space="preserve">בו נחתם בין הצדדים הסכם גירושין חלקי אשר קבע את איזון המשאבים בין הצדדים - תשיב האם לידי האב את </w:t>
      </w:r>
      <w:r w:rsidRPr="003C2DA2">
        <w:rPr>
          <w:rFonts w:ascii="Arial" w:hAnsi="Arial"/>
          <w:b/>
          <w:bCs/>
          <w:rtl/>
        </w:rPr>
        <w:t>סך קצבת התלויים</w:t>
      </w:r>
      <w:r>
        <w:rPr>
          <w:rFonts w:ascii="Arial" w:hAnsi="Arial"/>
          <w:rtl/>
        </w:rPr>
        <w:t xml:space="preserve"> ששולמה על ידו בגין מזונות הקטינים, והסכום ישולם תוך 60 יום מיום מתן פסק דין זה. </w:t>
      </w:r>
    </w:p>
    <w:p w14:paraId="4D5EA0FC" w14:textId="77777777" w:rsidR="00EB1053" w:rsidRDefault="00EB1053" w:rsidP="00EB1053">
      <w:pPr>
        <w:spacing w:line="360" w:lineRule="auto"/>
        <w:jc w:val="both"/>
        <w:rPr>
          <w:rFonts w:ascii="Arial" w:hAnsi="Arial"/>
          <w:b/>
          <w:bCs/>
          <w:u w:val="single"/>
        </w:rPr>
      </w:pPr>
      <w:r>
        <w:rPr>
          <w:rFonts w:ascii="Arial" w:hAnsi="Arial" w:hint="cs"/>
          <w:b/>
          <w:bCs/>
          <w:u w:val="single"/>
          <w:rtl/>
        </w:rPr>
        <w:t xml:space="preserve">הוצאות משפט </w:t>
      </w:r>
    </w:p>
    <w:p w14:paraId="4252CB06" w14:textId="77777777" w:rsidR="00EB1053" w:rsidRDefault="00EB1053" w:rsidP="00EB1053">
      <w:pPr>
        <w:pStyle w:val="ad"/>
        <w:numPr>
          <w:ilvl w:val="0"/>
          <w:numId w:val="1"/>
        </w:numPr>
        <w:spacing w:line="360" w:lineRule="auto"/>
        <w:jc w:val="both"/>
        <w:rPr>
          <w:rFonts w:ascii="Arial" w:hAnsi="Arial"/>
        </w:rPr>
      </w:pPr>
      <w:r>
        <w:rPr>
          <w:rFonts w:ascii="Arial" w:hAnsi="Arial"/>
          <w:rtl/>
        </w:rPr>
        <w:t>בנסיבות העניין כל צד יישא בהוצאותיו.</w:t>
      </w:r>
    </w:p>
    <w:p w14:paraId="7D437919" w14:textId="77777777" w:rsidR="00AD30EC" w:rsidRDefault="00AD30EC" w:rsidP="00EB1053">
      <w:pPr>
        <w:pStyle w:val="ad"/>
        <w:numPr>
          <w:ilvl w:val="0"/>
          <w:numId w:val="1"/>
        </w:numPr>
        <w:spacing w:line="360" w:lineRule="auto"/>
        <w:jc w:val="both"/>
        <w:rPr>
          <w:rFonts w:ascii="Arial" w:hAnsi="Arial"/>
          <w:rtl/>
        </w:rPr>
      </w:pPr>
      <w:r>
        <w:rPr>
          <w:rFonts w:ascii="Arial" w:hAnsi="Arial" w:hint="cs"/>
          <w:rtl/>
        </w:rPr>
        <w:t>פסק הדין ניתן לפרסום ללא פרטים מזהים.</w:t>
      </w:r>
    </w:p>
    <w:p w14:paraId="20899EB5" w14:textId="77777777" w:rsidR="00EB1053" w:rsidRDefault="00EB1053" w:rsidP="00EB1053">
      <w:pPr>
        <w:spacing w:line="360" w:lineRule="auto"/>
        <w:jc w:val="both"/>
        <w:rPr>
          <w:rFonts w:ascii="Arial" w:hAnsi="Arial"/>
        </w:rPr>
      </w:pPr>
    </w:p>
    <w:p w14:paraId="5A9A4B83" w14:textId="77777777"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380785667"/>
          <w:text w:multiLine="1"/>
        </w:sdtPr>
        <w:sdtEndPr/>
        <w:sdtContent>
          <w:r>
            <w:rPr>
              <w:rFonts w:ascii="Arial" w:hAnsi="Arial"/>
              <w:noProof w:val="0"/>
              <w:rtl/>
            </w:rPr>
            <w:t>י"א חשוון תשפ"ה</w:t>
          </w:r>
        </w:sdtContent>
      </w:sdt>
      <w:r>
        <w:rPr>
          <w:rFonts w:ascii="Arial" w:hAnsi="Arial"/>
          <w:noProof w:val="0"/>
          <w:rtl/>
        </w:rPr>
        <w:t xml:space="preserve">, </w:t>
      </w:r>
      <w:sdt>
        <w:sdtPr>
          <w:rPr>
            <w:rtl/>
          </w:rPr>
          <w:alias w:val="1456"/>
          <w:tag w:val="1456"/>
          <w:id w:val="394247894"/>
          <w:text w:multiLine="1"/>
        </w:sdtPr>
        <w:sdtEndPr/>
        <w:sdtContent>
          <w:r>
            <w:rPr>
              <w:rFonts w:ascii="Arial" w:hAnsi="Arial"/>
              <w:noProof w:val="0"/>
              <w:rtl/>
            </w:rPr>
            <w:t>12 נובמבר 2024</w:t>
          </w:r>
        </w:sdtContent>
      </w:sdt>
      <w:r>
        <w:rPr>
          <w:rFonts w:ascii="Arial" w:hAnsi="Arial"/>
          <w:noProof w:val="0"/>
          <w:rtl/>
        </w:rPr>
        <w:t>, בהעדר הצדדים.</w:t>
      </w:r>
    </w:p>
    <w:p w14:paraId="6C4FBE8C" w14:textId="77777777" w:rsidR="00694556" w:rsidRDefault="00F31245" w:rsidP="00F31245">
      <w:pPr>
        <w:spacing w:line="360" w:lineRule="auto"/>
        <w:jc w:val="both"/>
        <w:rPr>
          <w:rFonts w:ascii="Arial" w:hAnsi="Arial"/>
          <w:noProof w:val="0"/>
          <w:rtl/>
        </w:rPr>
      </w:pPr>
      <w:r>
        <w:rPr>
          <w:rFonts w:ascii="Arial" w:hAnsi="Arial" w:hint="cs"/>
          <w:noProof w:val="0"/>
          <w:rtl/>
        </w:rPr>
        <w:t xml:space="preserve"> </w:t>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sdt>
        <w:sdtPr>
          <w:rPr>
            <w:rFonts w:ascii="Arial" w:hAnsi="Arial" w:hint="cs"/>
            <w:noProof w:val="0"/>
            <w:rtl/>
          </w:rPr>
          <w:alias w:val="2045"/>
          <w:tag w:val="2045"/>
          <w:id w:val="1753319259"/>
          <w:placeholder>
            <w:docPart w:val="909B3A60C90D41F1957BFDD51F14A4D7"/>
          </w:placeholder>
          <w:showingPlcHdr/>
          <w:text w:multiLine="1"/>
        </w:sdtPr>
        <w:sdtEndPr/>
        <w:sdtContent>
          <w:r>
            <w:rPr>
              <w:rStyle w:val="ac"/>
              <w:rFonts w:hint="cs"/>
              <w:rtl/>
            </w:rPr>
            <w:t xml:space="preserve">    </w:t>
          </w:r>
        </w:sdtContent>
      </w:sdt>
    </w:p>
    <w:p w14:paraId="4A4DF885" w14:textId="77777777" w:rsidR="00694556" w:rsidRDefault="00391FBF">
      <w:pPr>
        <w:spacing w:line="360" w:lineRule="auto"/>
        <w:ind w:left="3600" w:firstLine="720"/>
        <w:jc w:val="both"/>
      </w:pPr>
      <w:sdt>
        <w:sdtPr>
          <w:rPr>
            <w:rtl/>
          </w:rPr>
          <w:alias w:val="MergeField"/>
          <w:tag w:val="1237"/>
          <w:id w:val="-1935746354"/>
        </w:sdtPr>
        <w:sdtEndPr/>
        <w:sdtContent>
          <w:r w:rsidR="00122186">
            <w:drawing>
              <wp:inline distT="0" distB="0" distL="0" distR="0" wp14:anchorId="5274A963" wp14:editId="6093109B">
                <wp:extent cx="1641348" cy="4983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stretch>
                          <a:fillRect/>
                        </a:stretch>
                      </pic:blipFill>
                      <pic:spPr>
                        <a:xfrm>
                          <a:off x="0" y="0"/>
                          <a:ext cx="1641348" cy="498348"/>
                        </a:xfrm>
                        <a:prstGeom prst="rect">
                          <a:avLst/>
                        </a:prstGeom>
                      </pic:spPr>
                    </pic:pic>
                  </a:graphicData>
                </a:graphic>
              </wp:inline>
            </w:drawing>
          </w:r>
        </w:sdtContent>
      </w:sdt>
    </w:p>
    <w:p w14:paraId="2C43E34E" w14:textId="77777777" w:rsidR="00694556" w:rsidRDefault="00694556">
      <w:pPr>
        <w:spacing w:line="360" w:lineRule="auto"/>
        <w:ind w:left="3600" w:firstLine="720"/>
        <w:jc w:val="both"/>
        <w:rPr>
          <w:rFonts w:ascii="Arial" w:hAnsi="Arial"/>
          <w:noProof w:val="0"/>
          <w:rtl/>
        </w:rPr>
      </w:pPr>
    </w:p>
    <w:p w14:paraId="4373EAC6" w14:textId="77777777" w:rsidR="00694556" w:rsidRDefault="00694556">
      <w:pPr>
        <w:spacing w:line="360" w:lineRule="auto"/>
        <w:jc w:val="both"/>
        <w:rPr>
          <w:rFonts w:ascii="Arial" w:hAnsi="Arial"/>
          <w:noProof w:val="0"/>
          <w:rtl/>
        </w:rPr>
      </w:pPr>
    </w:p>
    <w:sectPr w:rsidR="00694556" w:rsidSect="00903896">
      <w:headerReference w:type="default" r:id="rId11"/>
      <w:footerReference w:type="default" r:id="rId12"/>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041E3" w14:textId="77777777" w:rsidR="00391FBF" w:rsidRDefault="00391FBF">
      <w:r>
        <w:separator/>
      </w:r>
    </w:p>
  </w:endnote>
  <w:endnote w:type="continuationSeparator" w:id="0">
    <w:p w14:paraId="45512EF0" w14:textId="77777777" w:rsidR="00391FBF" w:rsidRDefault="00391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0D4B3" w14:textId="6A5F4CF6" w:rsidR="00694556" w:rsidRPr="00384D27" w:rsidRDefault="00060038">
    <w:pPr>
      <w:pStyle w:val="a4"/>
      <w:jc w:val="center"/>
      <w:rPr>
        <w:rStyle w:val="ab"/>
        <w:rFonts w:ascii="David" w:hAnsi="David"/>
      </w:rPr>
    </w:pPr>
    <w:r w:rsidRPr="00384D27">
      <w:rPr>
        <w:rStyle w:val="ab"/>
        <w:rFonts w:ascii="David" w:hAnsi="David"/>
      </w:rPr>
      <w:fldChar w:fldCharType="begin"/>
    </w:r>
    <w:r w:rsidR="00005C8B" w:rsidRPr="00384D27">
      <w:rPr>
        <w:rStyle w:val="ab"/>
        <w:rFonts w:ascii="David" w:hAnsi="David"/>
      </w:rPr>
      <w:instrText xml:space="preserve"> PAGE </w:instrText>
    </w:r>
    <w:r w:rsidRPr="00384D27">
      <w:rPr>
        <w:rStyle w:val="ab"/>
        <w:rFonts w:ascii="David" w:hAnsi="David"/>
      </w:rPr>
      <w:fldChar w:fldCharType="separate"/>
    </w:r>
    <w:r w:rsidR="00D808AC">
      <w:rPr>
        <w:rStyle w:val="ab"/>
        <w:rFonts w:ascii="David" w:hAnsi="David"/>
        <w:rtl/>
      </w:rPr>
      <w:t>1</w:t>
    </w:r>
    <w:r w:rsidRPr="00384D27">
      <w:rPr>
        <w:rStyle w:val="ab"/>
        <w:rFonts w:ascii="David" w:hAnsi="David"/>
      </w:rPr>
      <w:fldChar w:fldCharType="end"/>
    </w:r>
    <w:r w:rsidR="00005C8B" w:rsidRPr="00384D27">
      <w:rPr>
        <w:rStyle w:val="ab"/>
        <w:rFonts w:ascii="David" w:hAnsi="David"/>
        <w:rtl/>
      </w:rPr>
      <w:t xml:space="preserve"> מתוך </w:t>
    </w:r>
    <w:r w:rsidRPr="00384D27">
      <w:rPr>
        <w:rStyle w:val="ab"/>
        <w:rFonts w:ascii="David" w:hAnsi="David"/>
      </w:rPr>
      <w:fldChar w:fldCharType="begin"/>
    </w:r>
    <w:r w:rsidR="00005C8B" w:rsidRPr="00384D27">
      <w:rPr>
        <w:rStyle w:val="ab"/>
        <w:rFonts w:ascii="David" w:hAnsi="David"/>
      </w:rPr>
      <w:instrText xml:space="preserve"> NUMPAGES </w:instrText>
    </w:r>
    <w:r w:rsidRPr="00384D27">
      <w:rPr>
        <w:rStyle w:val="ab"/>
        <w:rFonts w:ascii="David" w:hAnsi="David"/>
      </w:rPr>
      <w:fldChar w:fldCharType="separate"/>
    </w:r>
    <w:r w:rsidR="00D808AC">
      <w:rPr>
        <w:rStyle w:val="ab"/>
        <w:rFonts w:ascii="David" w:hAnsi="David"/>
        <w:rtl/>
      </w:rPr>
      <w:t>1</w:t>
    </w:r>
    <w:r w:rsidRPr="00384D27">
      <w:rPr>
        <w:rStyle w:val="ab"/>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107E8" w14:textId="77777777" w:rsidR="00391FBF" w:rsidRDefault="00391FBF">
      <w:r>
        <w:separator/>
      </w:r>
    </w:p>
  </w:footnote>
  <w:footnote w:type="continuationSeparator" w:id="0">
    <w:p w14:paraId="42D142EF" w14:textId="77777777" w:rsidR="00391FBF" w:rsidRDefault="00391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60DC9" w14:textId="77777777" w:rsidR="00694556" w:rsidRDefault="00995611">
    <w:pPr>
      <w:pStyle w:val="a3"/>
      <w:jc w:val="center"/>
      <w:rPr>
        <w:rFonts w:cs="FrankRuehl"/>
        <w:noProof w:val="0"/>
        <w:sz w:val="28"/>
        <w:szCs w:val="28"/>
        <w:rtl/>
      </w:rPr>
    </w:pPr>
    <w:r>
      <w:rPr>
        <w:rFonts w:cs="FrankRuehl"/>
        <w:sz w:val="28"/>
        <w:szCs w:val="28"/>
      </w:rPr>
      <w:drawing>
        <wp:inline distT="0" distB="0" distL="0" distR="0" wp14:anchorId="2282B6A4" wp14:editId="0BA58966">
          <wp:extent cx="371475" cy="466725"/>
          <wp:effectExtent l="0" t="0" r="9525" b="9525"/>
          <wp:docPr id="5"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694556" w14:paraId="39E56548" w14:textId="77777777">
      <w:trPr>
        <w:trHeight w:hRule="exact" w:val="418"/>
        <w:jc w:val="center"/>
      </w:trPr>
      <w:sdt>
        <w:sdtPr>
          <w:rPr>
            <w:rtl/>
          </w:rPr>
          <w:alias w:val="1174"/>
          <w:tag w:val="1174"/>
          <w:id w:val="-827588114"/>
          <w:text/>
        </w:sdtPr>
        <w:sdtEndPr/>
        <w:sdtContent>
          <w:tc>
            <w:tcPr>
              <w:tcW w:w="8721" w:type="dxa"/>
              <w:gridSpan w:val="2"/>
            </w:tcPr>
            <w:p w14:paraId="474B96CF" w14:textId="77777777"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14:paraId="3A60531A" w14:textId="77777777">
      <w:trPr>
        <w:trHeight w:val="337"/>
        <w:jc w:val="center"/>
      </w:trPr>
      <w:tc>
        <w:tcPr>
          <w:tcW w:w="5047" w:type="dxa"/>
        </w:tcPr>
        <w:p w14:paraId="306B4C15" w14:textId="77777777" w:rsidR="00694556" w:rsidRDefault="00694556">
          <w:pPr>
            <w:rPr>
              <w:b/>
              <w:bCs/>
              <w:noProof w:val="0"/>
              <w:sz w:val="26"/>
              <w:szCs w:val="26"/>
              <w:rtl/>
            </w:rPr>
          </w:pPr>
        </w:p>
      </w:tc>
      <w:sdt>
        <w:sdtPr>
          <w:rPr>
            <w:rtl/>
          </w:rPr>
          <w:alias w:val="1456"/>
          <w:tag w:val="1456"/>
          <w:id w:val="1071467732"/>
          <w:text/>
        </w:sdtPr>
        <w:sdtEndPr/>
        <w:sdtContent>
          <w:tc>
            <w:tcPr>
              <w:tcW w:w="3674" w:type="dxa"/>
            </w:tcPr>
            <w:p w14:paraId="1F527BB3" w14:textId="77777777" w:rsidR="00694556" w:rsidRDefault="00005C8B">
              <w:pPr>
                <w:pStyle w:val="a3"/>
                <w:jc w:val="right"/>
                <w:rPr>
                  <w:b/>
                  <w:bCs/>
                  <w:noProof w:val="0"/>
                  <w:sz w:val="26"/>
                  <w:szCs w:val="26"/>
                  <w:rtl/>
                </w:rPr>
              </w:pPr>
              <w:r>
                <w:rPr>
                  <w:b/>
                  <w:bCs/>
                  <w:noProof w:val="0"/>
                  <w:sz w:val="26"/>
                  <w:szCs w:val="26"/>
                  <w:rtl/>
                </w:rPr>
                <w:t>12 נובמבר 2024</w:t>
              </w:r>
            </w:p>
          </w:tc>
        </w:sdtContent>
      </w:sdt>
    </w:tr>
    <w:tr w:rsidR="00694556" w14:paraId="5FEDCF36" w14:textId="77777777">
      <w:trPr>
        <w:trHeight w:val="337"/>
        <w:jc w:val="center"/>
      </w:trPr>
      <w:tc>
        <w:tcPr>
          <w:tcW w:w="8721" w:type="dxa"/>
          <w:gridSpan w:val="2"/>
        </w:tcPr>
        <w:p w14:paraId="1C60D474" w14:textId="7195F34F" w:rsidR="00694556" w:rsidRDefault="00391FBF" w:rsidP="00384D27">
          <w:pPr>
            <w:rPr>
              <w:b/>
              <w:bCs/>
              <w:noProof w:val="0"/>
              <w:sz w:val="26"/>
              <w:szCs w:val="26"/>
              <w:rtl/>
            </w:rPr>
          </w:pPr>
          <w:sdt>
            <w:sdtPr>
              <w:rPr>
                <w:b/>
                <w:bCs/>
                <w:noProof w:val="0"/>
                <w:sz w:val="26"/>
                <w:szCs w:val="26"/>
                <w:rtl/>
              </w:rPr>
              <w:alias w:val="1170"/>
              <w:tag w:val="1170"/>
              <w:id w:val="-1502347601"/>
              <w:text w:multiLine="1"/>
            </w:sdtPr>
            <w:sdtEndPr/>
            <w:sdtContent>
              <w:r w:rsidR="00F97871" w:rsidRPr="00EB1053">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125011346"/>
              <w:text w:multiLine="1"/>
            </w:sdtPr>
            <w:sdtEndPr/>
            <w:sdtContent>
              <w:r w:rsidR="00F97871" w:rsidRPr="00EB1053">
                <w:rPr>
                  <w:b/>
                  <w:bCs/>
                  <w:noProof w:val="0"/>
                  <w:sz w:val="26"/>
                  <w:szCs w:val="26"/>
                  <w:rtl/>
                </w:rPr>
                <w:t>42720-06-21</w:t>
              </w:r>
            </w:sdtContent>
          </w:sdt>
          <w:r w:rsidR="00005C8B">
            <w:rPr>
              <w:b/>
              <w:bCs/>
              <w:noProof w:val="0"/>
              <w:sz w:val="26"/>
              <w:szCs w:val="26"/>
              <w:rtl/>
            </w:rPr>
            <w:t xml:space="preserve"> </w:t>
          </w:r>
          <w:sdt>
            <w:sdtPr>
              <w:rPr>
                <w:b/>
                <w:bCs/>
                <w:noProof w:val="0"/>
                <w:sz w:val="26"/>
                <w:szCs w:val="26"/>
                <w:rtl/>
              </w:rPr>
              <w:alias w:val="1172"/>
              <w:tag w:val="1172"/>
              <w:id w:val="671454484"/>
              <w:text w:multiLine="1"/>
            </w:sdtPr>
            <w:sdtEndPr/>
            <w:sdtContent>
              <w:r w:rsidR="00384D27">
                <w:rPr>
                  <w:rFonts w:hint="cs"/>
                  <w:b/>
                  <w:bCs/>
                  <w:noProof w:val="0"/>
                  <w:sz w:val="26"/>
                  <w:szCs w:val="26"/>
                  <w:rtl/>
                </w:rPr>
                <w:t>פלוני נ' פלונית</w:t>
              </w:r>
              <w:r w:rsidR="00EB1053" w:rsidRPr="00EB1053">
                <w:rPr>
                  <w:b/>
                  <w:bCs/>
                  <w:noProof w:val="0"/>
                  <w:sz w:val="26"/>
                  <w:szCs w:val="26"/>
                  <w:rtl/>
                </w:rPr>
                <w:br/>
              </w:r>
              <w:r w:rsidR="00EB1053" w:rsidRPr="00EB1053">
                <w:rPr>
                  <w:rFonts w:hint="cs"/>
                  <w:b/>
                  <w:bCs/>
                  <w:noProof w:val="0"/>
                  <w:sz w:val="26"/>
                  <w:szCs w:val="26"/>
                  <w:rtl/>
                </w:rPr>
                <w:t xml:space="preserve">תלה"מ 42638-06-21 </w:t>
              </w:r>
              <w:r w:rsidR="00384D27">
                <w:rPr>
                  <w:rFonts w:hint="cs"/>
                  <w:b/>
                  <w:bCs/>
                  <w:noProof w:val="0"/>
                  <w:sz w:val="26"/>
                  <w:szCs w:val="26"/>
                  <w:rtl/>
                </w:rPr>
                <w:t>פלוני נ' פלונית</w:t>
              </w:r>
            </w:sdtContent>
          </w:sdt>
        </w:p>
        <w:p w14:paraId="49C32EF8" w14:textId="77777777" w:rsidR="00694556" w:rsidRPr="00EB1053" w:rsidRDefault="00694556">
          <w:pPr>
            <w:rPr>
              <w:b/>
              <w:bCs/>
              <w:noProof w:val="0"/>
              <w:sz w:val="26"/>
              <w:szCs w:val="26"/>
              <w:rtl/>
            </w:rPr>
          </w:pPr>
        </w:p>
      </w:tc>
    </w:tr>
  </w:tbl>
  <w:p w14:paraId="413332C5" w14:textId="77777777"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53023"/>
    <w:multiLevelType w:val="hybridMultilevel"/>
    <w:tmpl w:val="273A668A"/>
    <w:lvl w:ilvl="0" w:tplc="AACCEC88">
      <w:start w:val="1"/>
      <w:numFmt w:val="decimal"/>
      <w:lvlText w:val="%1."/>
      <w:lvlJc w:val="left"/>
      <w:pPr>
        <w:ind w:left="720" w:hanging="360"/>
      </w:pPr>
      <w:rPr>
        <w:b w:val="0"/>
        <w:bCs w:val="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2730169F"/>
    <w:multiLevelType w:val="hybridMultilevel"/>
    <w:tmpl w:val="EAFA4124"/>
    <w:lvl w:ilvl="0" w:tplc="5D7CB98E">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698D0A05"/>
    <w:multiLevelType w:val="hybridMultilevel"/>
    <w:tmpl w:val="BBDC73C0"/>
    <w:lvl w:ilvl="0" w:tplc="46DCC5C6">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7B775964"/>
    <w:multiLevelType w:val="hybridMultilevel"/>
    <w:tmpl w:val="2132F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42702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427028&amp;lt;/CaseID&amp;gt;_x000d__x000a_        &amp;lt;CaseMonth&amp;gt;6&amp;lt;/CaseMonth&amp;gt;_x000d__x000a_        &amp;lt;CaseYear&amp;gt;2021&amp;lt;/CaseYear&amp;gt;_x000d__x000a_        &amp;lt;CaseNumber&amp;gt;42720&amp;lt;/CaseNumber&amp;gt;_x000d__x000a_        &amp;lt;NumeratorGroupID&amp;gt;1&amp;lt;/NumeratorGroupID&amp;gt;_x000d__x000a_        &amp;lt;CaseName&amp;gt;כהן נ&amp;#39; כהן&amp;lt;/CaseName&amp;gt;_x000d__x000a_        &amp;lt;CourtID&amp;gt;35&amp;lt;/CourtID&amp;gt;_x000d__x000a_        &amp;lt;CaseTypeID&amp;gt;10262&amp;lt;/CaseTypeID&amp;gt;_x000d__x000a_        &amp;lt;CaseInterestID&amp;gt;10118&amp;lt;/CaseInterestID&amp;gt;_x000d__x000a_        &amp;lt;CaseJudgeName&amp;gt;רבקה מקיי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2720-06-21&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53&amp;lt;/CaseNextDeterminingTask&amp;gt;_x000d__x000a_        &amp;lt;CaseOpenDate&amp;gt;2021-06-20T09:03: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רבקה&amp;lt;/CaseJudgeFirstName&amp;gt;_x000d__x000a_        &amp;lt;CaseJudgeLastName&amp;gt;מקייס&amp;lt;/CaseJudgeLastName&amp;gt;_x000d__x000a_        &amp;lt;JudicalPersonID&amp;gt;013388327@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427028&amp;lt;/CaseID&amp;gt;_x000d__x000a_        &amp;lt;CaseMonth&amp;gt;6&amp;lt;/CaseMonth&amp;gt;_x000d__x000a_        &amp;lt;CaseYear&amp;gt;2021&amp;lt;/CaseYear&amp;gt;_x000d__x000a_        &amp;lt;CaseNumber&amp;gt;42720&amp;lt;/CaseNumber&amp;gt;_x000d__x000a_        &amp;lt;NumeratorGroupID&amp;gt;1&amp;lt;/NumeratorGroupID&amp;gt;_x000d__x000a_        &amp;lt;CaseName&amp;gt;כהן נ&amp;#39; כהן&amp;lt;/CaseName&amp;gt;_x000d__x000a_        &amp;lt;CourtID&amp;gt;35&amp;lt;/CourtID&amp;gt;_x000d__x000a_        &amp;lt;CaseTypeID&amp;gt;10262&amp;lt;/CaseTypeID&amp;gt;_x000d__x000a_        &amp;lt;CaseInterestID&amp;gt;10118&amp;lt;/CaseInterestID&amp;gt;_x000d__x000a_        &amp;lt;CaseJudgeName&amp;gt;רבקה מקיי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2720-06-21&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153&amp;lt;/CaseNextDeterminingTask&amp;gt;_x000d__x000a_        &amp;lt;CaseOpenDate&amp;gt;2021-06-20T09:03: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רבקה&amp;lt;/CaseJudgeFirstName&amp;gt;_x000d__x000a_        &amp;lt;CaseJudgeLastName&amp;gt;מקייס&amp;lt;/CaseJudgeLastName&amp;gt;_x000d__x000a_        &amp;lt;JudicalPersonID&amp;gt;013388327@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965371&amp;lt;/DecisionID&amp;gt;_x000d__x000a_        &amp;lt;DecisionName&amp;gt;פסק דין  שניתנה ע&amp;quot;י  רבקה מקייס&amp;lt;/DecisionName&amp;gt;_x000d__x000a_        &amp;lt;DecisionStatusID&amp;gt;1&amp;lt;/DecisionStatusID&amp;gt;_x000d__x000a_        &amp;lt;DecisionStatusChangeDate&amp;gt;2024-11-11T13:57:35.173+02:00&amp;lt;/DecisionStatusChangeDate&amp;gt;_x000d__x000a_        &amp;lt;DecisionSignatureDate&amp;gt;2024-11-11T12:34:08.167+02:00&amp;lt;/DecisionSignatureDate&amp;gt;_x000d__x000a_        &amp;lt;DecisionSignatureUserID&amp;gt;013388327@GOV.IL&amp;lt;/DecisionSignatureUserID&amp;gt;_x000d__x000a_        &amp;lt;DecisionCreateDate&amp;gt;2024-11-11T12:39:28.243+02:00&amp;lt;/DecisionCreateDate&amp;gt;_x000d__x000a_        &amp;lt;DecisionChangeDate&amp;gt;2024-11-11T13:57:35.28+02:00&amp;lt;/DecisionChangeDate&amp;gt;_x000d__x000a_        &amp;lt;DecisionChangeUserID&amp;gt;01338832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6019573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33883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13388327@GOV.IL&amp;lt;/DecisionCreationUserID&amp;gt;_x000d__x000a_        &amp;lt;DecisionDisplayName&amp;gt;פסק דין  שניתנה ע&amp;quot;י  רבקה מקייס&amp;lt;/DecisionDisplayName&amp;gt;_x000d__x000a_        &amp;lt;IsScanned&amp;gt;false&amp;lt;/IsScanned&amp;gt;_x000d__x000a_        &amp;lt;DecisionSignatureUserName&amp;gt;רבקה מקייס&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6&amp;lt;/DecisionNumberInCase&amp;gt;_x000d__x000a_      &amp;lt;/dt_Decision&amp;gt;_x000d__x000a_      &amp;lt;dt_DecisionCase diffgr:id=&amp;quot;dt_DecisionCase1&amp;quot; msdata:rowOrder=&amp;quot;0&amp;quot;&amp;gt;_x000d__x000a_        &amp;lt;DecisionID&amp;gt;155965371&amp;lt;/DecisionID&amp;gt;_x000d__x000a_        &amp;lt;CaseID&amp;gt;78427028&amp;lt;/CaseID&amp;gt;_x000d__x000a_        &amp;lt;IsOriginal&amp;gt;true&amp;lt;/IsOriginal&amp;gt;_x000d__x000a_        &amp;lt;IsDeleted&amp;gt;false&amp;lt;/IsDeleted&amp;gt;_x000d__x000a_        &amp;lt;CaseName&amp;gt;כהן נ&amp;#39; כהן&amp;lt;/CaseName&amp;gt;_x000d__x000a_        &amp;lt;CaseDisplayIdentifier&amp;gt;42720-06-21 תלה&amp;quot;מ&amp;lt;/CaseDisplayIdentifier&amp;gt;_x000d__x000a_      &amp;lt;/dt_DecisionCase&amp;gt;_x000d__x000a_    &amp;lt;/DecisionDS&amp;gt;_x000d__x000a_  &amp;lt;/diffgr:diffgram&amp;gt;_x000d__x000a_&amp;lt;/DecisionDS&amp;gt;"/>
    <w:docVar w:name="DecisionID" w:val="155965371"/>
    <w:docVar w:name="WordClientAssemblyName" w:val="NGCS.Decision.ClientWordBL"/>
    <w:docVar w:name="WordClientClassName" w:val="NGCS.Decision.ClientWordBL.DecisionClient"/>
  </w:docVars>
  <w:rsids>
    <w:rsidRoot w:val="00694556"/>
    <w:rsid w:val="00005C8B"/>
    <w:rsid w:val="00012EEE"/>
    <w:rsid w:val="00030287"/>
    <w:rsid w:val="000564AB"/>
    <w:rsid w:val="00060038"/>
    <w:rsid w:val="000815D9"/>
    <w:rsid w:val="00122186"/>
    <w:rsid w:val="0014234E"/>
    <w:rsid w:val="00181905"/>
    <w:rsid w:val="001B2D2D"/>
    <w:rsid w:val="001C4003"/>
    <w:rsid w:val="00220A8B"/>
    <w:rsid w:val="0024150E"/>
    <w:rsid w:val="00270B03"/>
    <w:rsid w:val="002C0B5E"/>
    <w:rsid w:val="00333D32"/>
    <w:rsid w:val="00370CB5"/>
    <w:rsid w:val="00384D27"/>
    <w:rsid w:val="00391FBF"/>
    <w:rsid w:val="003C2DA2"/>
    <w:rsid w:val="004033A8"/>
    <w:rsid w:val="004309AD"/>
    <w:rsid w:val="00434DC3"/>
    <w:rsid w:val="004B01C6"/>
    <w:rsid w:val="004E6E3C"/>
    <w:rsid w:val="00510006"/>
    <w:rsid w:val="00547DB7"/>
    <w:rsid w:val="00552675"/>
    <w:rsid w:val="005A08A1"/>
    <w:rsid w:val="005E430F"/>
    <w:rsid w:val="006038BF"/>
    <w:rsid w:val="00622BAA"/>
    <w:rsid w:val="00637FDA"/>
    <w:rsid w:val="00657139"/>
    <w:rsid w:val="00671BD5"/>
    <w:rsid w:val="006805C1"/>
    <w:rsid w:val="00681FA3"/>
    <w:rsid w:val="006906D2"/>
    <w:rsid w:val="00694556"/>
    <w:rsid w:val="006B5996"/>
    <w:rsid w:val="006D18EF"/>
    <w:rsid w:val="006E1A53"/>
    <w:rsid w:val="006F330E"/>
    <w:rsid w:val="0076096E"/>
    <w:rsid w:val="007728A2"/>
    <w:rsid w:val="0077521D"/>
    <w:rsid w:val="007802C7"/>
    <w:rsid w:val="007D673A"/>
    <w:rsid w:val="00820005"/>
    <w:rsid w:val="008665FC"/>
    <w:rsid w:val="00884519"/>
    <w:rsid w:val="00903896"/>
    <w:rsid w:val="009706D5"/>
    <w:rsid w:val="00995611"/>
    <w:rsid w:val="00A146B0"/>
    <w:rsid w:val="00A234A1"/>
    <w:rsid w:val="00A3784D"/>
    <w:rsid w:val="00A60E9E"/>
    <w:rsid w:val="00A720C8"/>
    <w:rsid w:val="00A843B4"/>
    <w:rsid w:val="00A91BF0"/>
    <w:rsid w:val="00AB26C9"/>
    <w:rsid w:val="00AB3BAC"/>
    <w:rsid w:val="00AD30EC"/>
    <w:rsid w:val="00B32F9D"/>
    <w:rsid w:val="00B53626"/>
    <w:rsid w:val="00B610DA"/>
    <w:rsid w:val="00B80CBD"/>
    <w:rsid w:val="00B80F3D"/>
    <w:rsid w:val="00BE153F"/>
    <w:rsid w:val="00BE305D"/>
    <w:rsid w:val="00C13531"/>
    <w:rsid w:val="00C554D2"/>
    <w:rsid w:val="00C64A8A"/>
    <w:rsid w:val="00CF4FA4"/>
    <w:rsid w:val="00D53924"/>
    <w:rsid w:val="00D6430B"/>
    <w:rsid w:val="00D808AC"/>
    <w:rsid w:val="00D96D8C"/>
    <w:rsid w:val="00DF7AB3"/>
    <w:rsid w:val="00E25FFE"/>
    <w:rsid w:val="00E40C4B"/>
    <w:rsid w:val="00E54642"/>
    <w:rsid w:val="00E97908"/>
    <w:rsid w:val="00EB1053"/>
    <w:rsid w:val="00ED0C48"/>
    <w:rsid w:val="00ED4B29"/>
    <w:rsid w:val="00F06374"/>
    <w:rsid w:val="00F31245"/>
    <w:rsid w:val="00F97871"/>
    <w:rsid w:val="00FB3EF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4D7D7"/>
  <w15:docId w15:val="{E3508163-6098-4760-A522-C83AD1A3D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F31245"/>
    <w:rPr>
      <w:color w:val="808080"/>
    </w:rPr>
  </w:style>
  <w:style w:type="paragraph" w:styleId="ad">
    <w:name w:val="List Paragraph"/>
    <w:basedOn w:val="a"/>
    <w:uiPriority w:val="34"/>
    <w:qFormat/>
    <w:rsid w:val="00EB1053"/>
    <w:pPr>
      <w:ind w:left="720"/>
      <w:contextualSpacing/>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801614">
      <w:bodyDiv w:val="1"/>
      <w:marLeft w:val="0"/>
      <w:marRight w:val="0"/>
      <w:marTop w:val="0"/>
      <w:marBottom w:val="0"/>
      <w:divBdr>
        <w:top w:val="none" w:sz="0" w:space="0" w:color="auto"/>
        <w:left w:val="none" w:sz="0" w:space="0" w:color="auto"/>
        <w:bottom w:val="none" w:sz="0" w:space="0" w:color="auto"/>
        <w:right w:val="none" w:sz="0" w:space="0" w:color="auto"/>
      </w:divBdr>
    </w:div>
    <w:div w:id="355347246">
      <w:bodyDiv w:val="1"/>
      <w:marLeft w:val="0"/>
      <w:marRight w:val="0"/>
      <w:marTop w:val="0"/>
      <w:marBottom w:val="0"/>
      <w:divBdr>
        <w:top w:val="none" w:sz="0" w:space="0" w:color="auto"/>
        <w:left w:val="none" w:sz="0" w:space="0" w:color="auto"/>
        <w:bottom w:val="none" w:sz="0" w:space="0" w:color="auto"/>
        <w:right w:val="none" w:sz="0" w:space="0" w:color="auto"/>
      </w:divBdr>
    </w:div>
    <w:div w:id="58622729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80595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09B3A60C90D41F1957BFDD51F14A4D7"/>
        <w:category>
          <w:name w:val="כללי"/>
          <w:gallery w:val="placeholder"/>
        </w:category>
        <w:types>
          <w:type w:val="bbPlcHdr"/>
        </w:types>
        <w:behaviors>
          <w:behavior w:val="content"/>
        </w:behaviors>
        <w:guid w:val="{EBD912B4-FE30-4C3C-BF68-4F3973D1B11A}"/>
      </w:docPartPr>
      <w:docPartBody>
        <w:p w:rsidR="0001313A" w:rsidRDefault="00387981" w:rsidP="00387981">
          <w:pPr>
            <w:pStyle w:val="909B3A60C90D41F1957BFDD51F14A4D73"/>
          </w:pPr>
          <w:r>
            <w:rPr>
              <w:rStyle w:val="a3"/>
              <w:rFonts w:hint="cs"/>
              <w:rtl/>
            </w:rPr>
            <w:t xml:space="preserve">    </w:t>
          </w:r>
        </w:p>
      </w:docPartBody>
    </w:docPart>
    <w:docPart>
      <w:docPartPr>
        <w:name w:val="E44FF618301F467CB3877AAD46FEA172"/>
        <w:category>
          <w:name w:val="כללי"/>
          <w:gallery w:val="placeholder"/>
        </w:category>
        <w:types>
          <w:type w:val="bbPlcHdr"/>
        </w:types>
        <w:behaviors>
          <w:behavior w:val="content"/>
        </w:behaviors>
        <w:guid w:val="{02313E99-9C7D-488D-9326-441684D3FDAE}"/>
      </w:docPartPr>
      <w:docPartBody>
        <w:p w:rsidR="00662503" w:rsidRDefault="0001313A">
          <w:r w:rsidRPr="001B4FBA">
            <w:rPr>
              <w:rStyle w:val="a3"/>
              <w:rtl/>
            </w:rPr>
            <w:t>שם משתמש חותם</w:t>
          </w:r>
          <w:r w:rsidRPr="001B4FBA">
            <w:rPr>
              <w:rStyle w:val="a3"/>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13B"/>
    <w:rsid w:val="0001313A"/>
    <w:rsid w:val="00387981"/>
    <w:rsid w:val="00662503"/>
    <w:rsid w:val="00681FA3"/>
    <w:rsid w:val="0070313B"/>
    <w:rsid w:val="00816A0E"/>
    <w:rsid w:val="00954C86"/>
    <w:rsid w:val="00B668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87981"/>
    <w:rPr>
      <w:color w:val="808080"/>
    </w:rPr>
  </w:style>
  <w:style w:type="paragraph" w:customStyle="1" w:styleId="A00EAF85F88C40F9A18E09BD653FD3D8">
    <w:name w:val="A00EAF85F88C40F9A18E09BD653FD3D8"/>
    <w:rsid w:val="00662503"/>
    <w:pPr>
      <w:bidi/>
    </w:pPr>
  </w:style>
  <w:style w:type="paragraph" w:customStyle="1" w:styleId="C3E91FDF438C4FC5BE4420F394138F70">
    <w:name w:val="C3E91FDF438C4FC5BE4420F394138F70"/>
    <w:rsid w:val="00662503"/>
    <w:pPr>
      <w:bidi/>
    </w:pPr>
  </w:style>
  <w:style w:type="paragraph" w:customStyle="1" w:styleId="399B59C579814111B589AACEC4FA3D54">
    <w:name w:val="399B59C579814111B589AACEC4FA3D54"/>
    <w:rsid w:val="00662503"/>
    <w:pPr>
      <w:bidi/>
    </w:pPr>
  </w:style>
  <w:style w:type="paragraph" w:customStyle="1" w:styleId="364086382AD842B38E98BCFD7B33F04A">
    <w:name w:val="364086382AD842B38E98BCFD7B33F04A"/>
    <w:rsid w:val="00662503"/>
    <w:pPr>
      <w:bidi/>
    </w:pPr>
  </w:style>
  <w:style w:type="paragraph" w:customStyle="1" w:styleId="96CBCC4568784A3C843493EC98CE2935">
    <w:name w:val="96CBCC4568784A3C843493EC98CE2935"/>
    <w:rsid w:val="00662503"/>
    <w:pPr>
      <w:bidi/>
    </w:pPr>
  </w:style>
  <w:style w:type="paragraph" w:customStyle="1" w:styleId="AE6B164393934F53A57870E90B09A532">
    <w:name w:val="AE6B164393934F53A57870E90B09A532"/>
    <w:rsid w:val="00662503"/>
    <w:pPr>
      <w:bidi/>
    </w:pPr>
  </w:style>
  <w:style w:type="paragraph" w:customStyle="1" w:styleId="909B3A60C90D41F1957BFDD51F14A4D73">
    <w:name w:val="909B3A60C90D41F1957BFDD51F14A4D73"/>
    <w:rsid w:val="0038798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78427028</CaseID>
    <CaseJudicialPersonPresentationDS>
      <CaseJudicalPersonActive>
        <CaseID>78427028</CaseID>
        <JudicialPersonID>013388327@GOV.IL</JudicialPersonID>
        <JudicialPersonTypeID>1</JudicialPersonTypeID>
        <JudicialTypeID>1</JudicialTypeID>
        <IsChairman>false</IsChairman>
        <TreatmentStartDate>2021-06-20T09:09:52.64+03:00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78427028</CaseID>
        <CaseJudicialPersonPresentationDS>
          <CaseJudicalPersonActive>
            <CaseID>78427028</CaseID>
            <JudicialPersonID>013388327@GOV.IL</JudicialPersonID>
            <JudicialPersonTypeID>1</JudicialPersonTypeID>
            <JudicialTypeID>1</JudicialTypeID>
            <IsChairman>false</IsChairman>
            <TreatmentStartDate>2021-06-20T09:09:52.64+03:00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264653360</CasePartyID>
        <PartyTypeID>3</PartyTypeID>
        <ActivityStatusID>1</ActivityStatusID>
        <LegalEntityID>33187248</LegalEntityID>
        <CaseLegalEntityID>127268473</CaseLegalEntityID>
        <AssistantRoleID>27</AssistantRoleID>
        <AuthenticationTypeID>3</AuthenticationTypeID>
        <AuthenticationTypeName>חברות</AuthenticationTypeName>
        <LegalEntityNumber>513744136</LegalEntityNumber>
        <IsMainPartyType>true</IsMainPartyType>
        <CaseDisplayIdentifier>42720-06-21</CaseDisplayIdentifier>
        <CaseTypeID>10262</CaseTypeID>
        <CaseTypeName>תביעה לאחר הסדר התדיינויות במשפחה (תלה"מ)</CaseTypeName>
        <CaseName>כהן נ' כהן</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MainAndSecSpec/>
        <IsPublicationProhibited>false</IsPublicationProhibited>
        <PublicationProhibitedFullName>איטייפ-אומניטק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גלית צור</FullName>
        <FirstName>גלית</FirstName>
        <LastName>צור</LastName>
        <PartyPropertyName/>
        <AuthenticationTypeAndNumber>מ.ר. 28592</AuthenticationTypeAndNumber>
        <RepresentatedOrRepresentativesNames>נעם כהן</RepresentatedOrRepresentativesNames>
        <RepresentatedOrRepresentativesCount>1</RepresentatedOrRepresentativesCount>
        <InvitedBy/>
        <CaseID>78427028</CaseID>
        <CaseJudicialPersonPresentationDS>
          <CaseJudicalPersonActive>
            <CaseID>78427028</CaseID>
            <JudicialPersonID>013388327@GOV.IL</JudicialPersonID>
            <JudicialPersonTypeID>1</JudicialPersonTypeID>
            <JudicialTypeID>1</JudicialTypeID>
            <IsChairman>false</IsChairman>
            <TreatmentStartDate>2021-06-20T09:09:52.64+03:00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229245547</CasePartyID>
        <PartyTypeID>2</PartyTypeID>
        <ActivityStatusID>1</ActivityStatusID>
        <PartyAliasID>21</PartyAliasID>
        <PartyAliasName>בא כוח נתבעים</PartyAliasName>
        <LegalEntityID>399959</LegalEntityID>
        <CaseLegalEntityID>116122020</CaseLegalEntityID>
        <AuthenticationTypeID>4</AuthenticationTypeID>
        <AuthenticationTypeName>מ.ר.</AuthenticationTypeName>
        <LegalEntityNumber>28592</LegalEntityNumber>
        <IsMainPartyType>true</IsMainPartyType>
        <CaseDisplayIdentifier>42720-06-21</CaseDisplayIdentifier>
        <CaseTypeID>10262</CaseTypeID>
        <CaseTypeName>תביעה לאחר הסדר התדיינויות במשפחה (תלה"מ)</CaseTypeName>
        <CaseName>כהן נ' כהן</CaseName>
        <FullAddress>אנדרי סחרוב 9 חיפה בנין מיקרוסופט כניסה צפונית , קומה 8 מת"מ</FullAddress>
        <EmailAddress>tzurlaw2017@gmail.com</EmailAddress>
        <MotionID>0</MotionID>
        <CasePleaID>0</CasePleaID>
        <FatherName xml:space="preserve">        </FatherName>
        <LinkedCaseID>0</LinkedCaseID>
        <PartyID>2</PartyID>
        <CasePartyCategoryID>2</CasePartyCategoryID>
        <LegalEntityAddressID>84083065</LegalEntityAddressID>
        <LegalEntityEmailAddressID>68307516</LegalEntityEmailAddressID>
        <PleaTypeID>4</PleaTypeID>
        <LawyerOfficeName>צור משרד עורכי דין וגישור</LawyerOfficeName>
        <LawyerOfficeID>430049</LawyerOfficeID>
        <GroupPartyAlias/>
        <IsConverted>false</IsConverted>
        <LegalEntityNameID>20943</LegalEntityNameID>
        <RepresentatedNamesOfAssistant/>
        <LegalEntityTypeID>4</LegalEntityTypeID>
        <IsVerdictExists>false</IsVerdictExists>
        <IsAsirAzir>false</IsAsirAzir>
        <MainAndSecSpec/>
        <IsPublicationProhibited>false</IsPublicationProhibited>
        <PublicationProhibitedFullName>גלית צור</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78427028</CaseID>
        <CaseJudicialPersonPresentationDS>
          <CaseJudicalPersonActive>
            <CaseID>78427028</CaseID>
            <JudicialPersonID>013388327@GOV.IL</JudicialPersonID>
            <JudicialPersonTypeID>1</JudicialPersonTypeID>
            <JudicialTypeID>1</JudicialTypeID>
            <IsChairman>false</IsChairman>
            <TreatmentStartDate>2021-06-20T09:09:52.64+03:00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227960051</CasePartyID>
        <PartyTypeID>3</PartyTypeID>
        <ActivityStatusID>1</ActivityStatusID>
        <OrdinalNumber>1</OrdinalNumber>
        <LegalEntityID>379242</LegalEntityID>
        <CaseLegalEntityID>115753980</CaseLegalEntityID>
        <AssistantRoleID>33</AssistantRoleID>
        <AuthenticationTypeID>13</AuthenticationTypeID>
        <AuthenticationTypeName>משרדי ממשלה</AuthenticationTypeName>
        <LegalEntityNumber>500106222</LegalEntityNumber>
        <IsMainPartyType>true</IsMainPartyType>
        <CaseDisplayIdentifier>42720-06-21</CaseDisplayIdentifier>
        <CaseTypeID>10262</CaseTypeID>
        <CaseTypeName>תביעה לאחר הסדר התדיינויות במשפחה (תלה"מ)</CaseTypeName>
        <CaseName>כהן נ' כהן</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טל שרון</FullName>
        <FirstName>טל</FirstName>
        <LastName>שרון</LastName>
        <PartyPropertyName/>
        <AuthenticationTypeAndNumber>מ.ר. 19041</AuthenticationTypeAndNumber>
        <RepresentatedOrRepresentativesNames>הילה כהן</RepresentatedOrRepresentativesNames>
        <RepresentatedOrRepresentativesCount>1</RepresentatedOrRepresentativesCount>
        <InvitedBy/>
        <CaseID>78427028</CaseID>
        <CaseJudicialPersonPresentationDS>
          <CaseJudicalPersonActive>
            <CaseID>78427028</CaseID>
            <JudicialPersonID>013388327@GOV.IL</JudicialPersonID>
            <JudicialPersonTypeID>1</JudicialPersonTypeID>
            <JudicialTypeID>1</JudicialTypeID>
            <IsChairman>false</IsChairman>
            <TreatmentStartDate>2021-06-20T09:09:52.64+03:00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227960053</CasePartyID>
        <PartyTypeID>2</PartyTypeID>
        <ActivityStatusID>1</ActivityStatusID>
        <PartyAliasID>20</PartyAliasID>
        <PartyAliasName>בא כוח תובעים</PartyAliasName>
        <OrdinalNumber>1</OrdinalNumber>
        <LegalEntityID>388521</LegalEntityID>
        <CaseLegalEntityID>115753982</CaseLegalEntityID>
        <AuthenticationTypeID>4</AuthenticationTypeID>
        <AuthenticationTypeName>מ.ר.</AuthenticationTypeName>
        <LegalEntityNumber>19041</LegalEntityNumber>
        <IsMainPartyType>true</IsMainPartyType>
        <CaseDisplayIdentifier>42720-06-21</CaseDisplayIdentifier>
        <CaseTypeID>10262</CaseTypeID>
        <CaseTypeName>תביעה לאחר הסדר התדיינויות במשפחה (תלה"מ)</CaseTypeName>
        <CaseName>כהן נ' כהן</CaseName>
        <FullAddress>שד' מוריה 62 חיפה </FullAddress>
        <EmailAddress>talsharonadv@gmail.com</EmailAddress>
        <MotionID>0</MotionID>
        <CasePleaID>0</CasePleaID>
        <FatherName xml:space="preserve">        </FatherName>
        <LinkedCaseID>0</LinkedCaseID>
        <PartyID>1</PartyID>
        <CasePartyCategoryID>2</CasePartyCategoryID>
        <LegalEntityAddressID>84785156</LegalEntityAddressID>
        <LegalEntityEmailAddressID>68102874</LegalEntityEmailAddressID>
        <PleaTypeID>4</PleaTypeID>
        <LawyerOfficeName>טל שרון </LawyerOfficeName>
        <LawyerOfficeID>71440720</LawyerOfficeID>
        <GroupPartyAlias/>
        <IsConverted>false</IsConverted>
        <LegalEntityNameID>9505</LegalEntityNameID>
        <RepresentatedNamesOfAssistant/>
        <LegalEntityTypeID>4</LegalEntityTypeID>
        <IsVerdictExists>false</IsVerdictExists>
        <IsAsirAzir>false</IsAsirAzir>
        <MainAndSecSpec/>
        <IsPublicationProhibited>false</IsPublicationProhibited>
        <PublicationProhibitedFullName>טל שרון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הילה כהן</FullName>
        <FirstName>הילה</FirstName>
        <LastName>כהן</LastName>
        <PartyPropertyName/>
        <AuthenticationTypeAndNumber>ת"ז 040457061</AuthenticationTypeAndNumber>
        <RepresentatedOrRepresentativesNames>טל שרון</RepresentatedOrRepresentativesNames>
        <RepresentatedOrRepresentativesCount>1</RepresentatedOrRepresentativesCount>
        <InvitedBy/>
        <CaseID>78427028</CaseID>
        <CaseJudicialPersonPresentationDS>
          <CaseJudicalPersonActive>
            <CaseID>78427028</CaseID>
            <JudicialPersonID>013388327@GOV.IL</JudicialPersonID>
            <JudicialPersonTypeID>1</JudicialPersonTypeID>
            <JudicialTypeID>1</JudicialTypeID>
            <IsChairman>false</IsChairman>
            <TreatmentStartDate>2021-06-20T09:09:52.64+03:00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227960052</CasePartyID>
        <PartyTypeID>1</PartyTypeID>
        <ActivityStatusID>1</ActivityStatusID>
        <PartyAliasID>1</PartyAliasID>
        <PartyAliasName>תובע</PartyAliasName>
        <OrdinalNumber>1</OrdinalNumber>
        <LegalEntityID>23724608</LegalEntityID>
        <CaseLegalEntityID>115753981</CaseLegalEntityID>
        <AuthenticationTypeID>1</AuthenticationTypeID>
        <AuthenticationTypeName>ת"ז</AuthenticationTypeName>
        <LegalEntityNumber>040457061</LegalEntityNumber>
        <IsMainPartyType>true</IsMainPartyType>
        <CaseDisplayIdentifier>42720-06-21</CaseDisplayIdentifier>
        <CaseTypeID>10262</CaseTypeID>
        <CaseTypeName>תביעה לאחר הסדר התדיינויות במשפחה (תלה"מ)</CaseTypeName>
        <CaseName>כהן נ' כהן</CaseName>
        <FullAddress>.</FullAddress>
        <MotionID>0</MotionID>
        <CasePleaID>0</CasePleaID>
        <FatherName>מרדכי</FatherName>
        <LinkedCaseID>0</LinkedCaseID>
        <PartyID>1</PartyID>
        <CasePartyCategoryID>2</CasePartyCategoryID>
        <LegalEntityAddressID>85315208</LegalEntityAddressID>
        <PleaTypeID>4</PleaTypeID>
        <GroupPartyAlias>תובעים</GroupPartyAlias>
        <IsConverted>false</IsConverted>
        <LegalEntityRegisteredNameID>9466996</LegalEntityRegisteredNameID>
        <LegalEntityNameID>91552545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הילה כהן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נעם כהן</FullName>
        <FirstName>נעם</FirstName>
        <LastName>כהן</LastName>
        <PartyPropertyName/>
        <AuthenticationTypeAndNumber>ת"ז 037216090</AuthenticationTypeAndNumber>
        <RepresentatedOrRepresentativesNames>גלית צור</RepresentatedOrRepresentativesNames>
        <RepresentatedOrRepresentativesCount>1</RepresentatedOrRepresentativesCount>
        <InvitedBy/>
        <CaseID>78427028</CaseID>
        <CaseJudicialPersonPresentationDS>
          <CaseJudicalPersonActive>
            <CaseID>78427028</CaseID>
            <JudicialPersonID>013388327@GOV.IL</JudicialPersonID>
            <JudicialPersonTypeID>1</JudicialPersonTypeID>
            <JudicialTypeID>1</JudicialTypeID>
            <IsChairman>false</IsChairman>
            <TreatmentStartDate>2021-06-20T09:09:52.64+03:00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227960054</CasePartyID>
        <PartyTypeID>1</PartyTypeID>
        <ActivityStatusID>1</ActivityStatusID>
        <PartyAliasID>2</PartyAliasID>
        <PartyAliasName>נתבע</PartyAliasName>
        <OrdinalNumber>1</OrdinalNumber>
        <LegalEntityID>70455904</LegalEntityID>
        <CaseLegalEntityID>115753983</CaseLegalEntityID>
        <AuthenticationTypeID>1</AuthenticationTypeID>
        <AuthenticationTypeName>ת"ז</AuthenticationTypeName>
        <LegalEntityNumber>037216090</LegalEntityNumber>
        <IsMainPartyType>true</IsMainPartyType>
        <CaseDisplayIdentifier>42720-06-21</CaseDisplayIdentifier>
        <CaseTypeID>10262</CaseTypeID>
        <CaseTypeName>תביעה לאחר הסדר התדיינויות במשפחה (תלה"מ)</CaseTypeName>
        <CaseName>כהן נ' כהן</CaseName>
        <FullAddress>יד חנה </FullAddress>
        <MotionID>0</MotionID>
        <CasePleaID>0</CasePleaID>
        <FatherName>מנחם</FatherName>
        <LinkedCaseID>0</LinkedCaseID>
        <PartyID>2</PartyID>
        <CasePartyCategoryID>2</CasePartyCategoryID>
        <LegalEntityAddressID>85315209</LegalEntityAddressID>
        <PleaTypeID>4</PleaTypeID>
        <GroupPartyAlias>נתבעים</GroupPartyAlias>
        <IsConverted>false</IsConverted>
        <LegalEntityRegisteredNameID>2659781</LegalEntityRegisteredNameID>
        <LegalEntityNameID>91552546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נעם כהן</PublicationProhibitedFullName>
      </CaseParties>
    </CasePartiesSelectionDS>
    <DecisionName>פסק דין  שניתנה ע"י  רבקה מקייס</DecisionName>
    <CourtDisplayName>בית משפט לענייני משפחה בפתח תקווה</CourtDisplayName>
    <IsCaseJudgePanel>false</IsCaseJudgePanel>
    <DecisionSignatureDate>2024-11-11T12:34:08.168175+02:00</DecisionSignatureDate>
    <OpenCaseDate>2021-06-20T09:03:00+03:00</OpenCaseDate>
    <CaseFeeSum>0.000</CaseFeeSum>
    <DecisionTypeID>2</DecisionTypeID>
    <DecisionSignatureUserName>רבקה מקייס</DecisionSignatureUserName>
    <DecisionSignatureDateHebrew>2024-11-11T12:34:08.168175+02:00</DecisionSignatureDateHebrew>
    <DecisionWriterID>013388327@GOV.IL</DecisionWriterID>
    <CourtAddress>רח' בזל 1 א', פתח תקווה -1</CourtAddress>
    <IsAutoTextInCaseExist>false</IsAutoTextInCaseExist>
    <DecisionSignatureRoleName>שופט</DecisionSignatureRoleName>
    <DecisionSignatureUserTitleName>שופטת בכירה</DecisionSignatureUserTitleName>
    <CaseName>כהן נ' כהן</CaseName>
    <DecisionNumberInCase>16</DecisionNumberInCase>
  </dt_Decision>
  <dt_DecisionCase>
    <DecisionID>0</DecisionID>
    <CaseID>78427028</CaseID>
    <CaseJudicialPersonPresentationDS>
      <CaseJudicalPersonActive>
        <CaseID>78427028</CaseID>
        <JudicialPersonID>013388327@GOV.IL</JudicialPersonID>
        <JudicialPersonTypeID>1</JudicialPersonTypeID>
        <JudicialTypeID>1</JudicialTypeID>
        <IsChairman>false</IsChairman>
        <TreatmentStartDate>2021-06-20T09:09:52.64+03:00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78427028</CaseID>
        <CaseJudicialPersonPresentationDS>
          <CaseJudicalPersonActive>
            <CaseID>78427028</CaseID>
            <JudicialPersonID>013388327@GOV.IL</JudicialPersonID>
            <JudicialPersonTypeID>1</JudicialPersonTypeID>
            <JudicialTypeID>1</JudicialTypeID>
            <IsChairman>false</IsChairman>
            <TreatmentStartDate>2021-06-20T09:09:52.64+03:00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264653360</CasePartyID>
        <PartyTypeID>3</PartyTypeID>
        <ActivityStatusID>1</ActivityStatusID>
        <LegalEntityID>33187248</LegalEntityID>
        <CaseLegalEntityID>127268473</CaseLegalEntityID>
        <AssistantRoleID>27</AssistantRoleID>
        <AuthenticationTypeID>3</AuthenticationTypeID>
        <AuthenticationTypeName>חברות</AuthenticationTypeName>
        <LegalEntityNumber>513744136</LegalEntityNumber>
        <IsMainPartyType>true</IsMainPartyType>
        <CaseDisplayIdentifier>42720-06-21</CaseDisplayIdentifier>
        <CaseTypeID>10262</CaseTypeID>
        <CaseTypeName>תביעה לאחר הסדר התדיינויות במשפחה (תלה"מ)</CaseTypeName>
        <CaseName>כהן נ' כהן</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MainAndSecSpec/>
        <IsPublicationProhibited>false</IsPublicationProhibited>
        <PublicationProhibitedFullName>איטייפ-אומניטק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גלית צור</FullName>
        <FirstName>גלית</FirstName>
        <LastName>צור</LastName>
        <PartyPropertyName/>
        <AuthenticationTypeAndNumber>מ.ר. 28592</AuthenticationTypeAndNumber>
        <RepresentatedOrRepresentativesNames>נעם כהן</RepresentatedOrRepresentativesNames>
        <RepresentatedOrRepresentativesCount>1</RepresentatedOrRepresentativesCount>
        <InvitedBy/>
        <CaseID>78427028</CaseID>
        <CaseJudicialPersonPresentationDS>
          <CaseJudicalPersonActive>
            <CaseID>78427028</CaseID>
            <JudicialPersonID>013388327@GOV.IL</JudicialPersonID>
            <JudicialPersonTypeID>1</JudicialPersonTypeID>
            <JudicialTypeID>1</JudicialTypeID>
            <IsChairman>false</IsChairman>
            <TreatmentStartDate>2021-06-20T09:09:52.64+03:00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229245547</CasePartyID>
        <PartyTypeID>2</PartyTypeID>
        <ActivityStatusID>1</ActivityStatusID>
        <PartyAliasID>21</PartyAliasID>
        <PartyAliasName>בא כוח נתבעים</PartyAliasName>
        <LegalEntityID>399959</LegalEntityID>
        <CaseLegalEntityID>116122020</CaseLegalEntityID>
        <AuthenticationTypeID>4</AuthenticationTypeID>
        <AuthenticationTypeName>מ.ר.</AuthenticationTypeName>
        <LegalEntityNumber>28592</LegalEntityNumber>
        <IsMainPartyType>true</IsMainPartyType>
        <CaseDisplayIdentifier>42720-06-21</CaseDisplayIdentifier>
        <CaseTypeID>10262</CaseTypeID>
        <CaseTypeName>תביעה לאחר הסדר התדיינויות במשפחה (תלה"מ)</CaseTypeName>
        <CaseName>כהן נ' כהן</CaseName>
        <FullAddress>אנדרי סחרוב 9 חיפה בנין מיקרוסופט כניסה צפונית , קומה 8 מת"מ</FullAddress>
        <EmailAddress>tzurlaw2017@gmail.com</EmailAddress>
        <MotionID>0</MotionID>
        <CasePleaID>0</CasePleaID>
        <FatherName xml:space="preserve">        </FatherName>
        <LinkedCaseID>0</LinkedCaseID>
        <PartyID>2</PartyID>
        <CasePartyCategoryID>2</CasePartyCategoryID>
        <LegalEntityAddressID>84083065</LegalEntityAddressID>
        <LegalEntityEmailAddressID>68307516</LegalEntityEmailAddressID>
        <PleaTypeID>4</PleaTypeID>
        <LawyerOfficeName>צור משרד עורכי דין וגישור</LawyerOfficeName>
        <LawyerOfficeID>430049</LawyerOfficeID>
        <GroupPartyAlias/>
        <IsConverted>false</IsConverted>
        <LegalEntityNameID>20943</LegalEntityNameID>
        <RepresentatedNamesOfAssistant/>
        <LegalEntityTypeID>4</LegalEntityTypeID>
        <IsVerdictExists>false</IsVerdictExists>
        <IsAsirAzir>false</IsAsirAzir>
        <MainAndSecSpec/>
        <IsPublicationProhibited>false</IsPublicationProhibited>
        <PublicationProhibitedFullName>גלית צור</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78427028</CaseID>
        <CaseJudicialPersonPresentationDS>
          <CaseJudicalPersonActive>
            <CaseID>78427028</CaseID>
            <JudicialPersonID>013388327@GOV.IL</JudicialPersonID>
            <JudicialPersonTypeID>1</JudicialPersonTypeID>
            <JudicialTypeID>1</JudicialTypeID>
            <IsChairman>false</IsChairman>
            <TreatmentStartDate>2021-06-20T09:09:52.64+03:00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227960051</CasePartyID>
        <PartyTypeID>3</PartyTypeID>
        <ActivityStatusID>1</ActivityStatusID>
        <OrdinalNumber>1</OrdinalNumber>
        <LegalEntityID>379242</LegalEntityID>
        <CaseLegalEntityID>115753980</CaseLegalEntityID>
        <AssistantRoleID>33</AssistantRoleID>
        <AuthenticationTypeID>13</AuthenticationTypeID>
        <AuthenticationTypeName>משרדי ממשלה</AuthenticationTypeName>
        <LegalEntityNumber>500106222</LegalEntityNumber>
        <IsMainPartyType>true</IsMainPartyType>
        <CaseDisplayIdentifier>42720-06-21</CaseDisplayIdentifier>
        <CaseTypeID>10262</CaseTypeID>
        <CaseTypeName>תביעה לאחר הסדר התדיינויות במשפחה (תלה"מ)</CaseTypeName>
        <CaseName>כהן נ' כהן</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טל שרון</FullName>
        <FirstName>טל</FirstName>
        <LastName>שרון</LastName>
        <PartyPropertyName/>
        <AuthenticationTypeAndNumber>מ.ר. 19041</AuthenticationTypeAndNumber>
        <RepresentatedOrRepresentativesNames>הילה כהן</RepresentatedOrRepresentativesNames>
        <RepresentatedOrRepresentativesCount>1</RepresentatedOrRepresentativesCount>
        <InvitedBy/>
        <CaseID>78427028</CaseID>
        <CaseJudicialPersonPresentationDS>
          <CaseJudicalPersonActive>
            <CaseID>78427028</CaseID>
            <JudicialPersonID>013388327@GOV.IL</JudicialPersonID>
            <JudicialPersonTypeID>1</JudicialPersonTypeID>
            <JudicialTypeID>1</JudicialTypeID>
            <IsChairman>false</IsChairman>
            <TreatmentStartDate>2021-06-20T09:09:52.64+03:00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227960053</CasePartyID>
        <PartyTypeID>2</PartyTypeID>
        <ActivityStatusID>1</ActivityStatusID>
        <PartyAliasID>20</PartyAliasID>
        <PartyAliasName>בא כוח תובעים</PartyAliasName>
        <OrdinalNumber>1</OrdinalNumber>
        <LegalEntityID>388521</LegalEntityID>
        <CaseLegalEntityID>115753982</CaseLegalEntityID>
        <AuthenticationTypeID>4</AuthenticationTypeID>
        <AuthenticationTypeName>מ.ר.</AuthenticationTypeName>
        <LegalEntityNumber>19041</LegalEntityNumber>
        <IsMainPartyType>true</IsMainPartyType>
        <CaseDisplayIdentifier>42720-06-21</CaseDisplayIdentifier>
        <CaseTypeID>10262</CaseTypeID>
        <CaseTypeName>תביעה לאחר הסדר התדיינויות במשפחה (תלה"מ)</CaseTypeName>
        <CaseName>כהן נ' כהן</CaseName>
        <FullAddress>שד' מוריה 62 חיפה </FullAddress>
        <EmailAddress>talsharonadv@gmail.com</EmailAddress>
        <MotionID>0</MotionID>
        <CasePleaID>0</CasePleaID>
        <FatherName xml:space="preserve">        </FatherName>
        <LinkedCaseID>0</LinkedCaseID>
        <PartyID>1</PartyID>
        <CasePartyCategoryID>2</CasePartyCategoryID>
        <LegalEntityAddressID>84785156</LegalEntityAddressID>
        <LegalEntityEmailAddressID>68102874</LegalEntityEmailAddressID>
        <PleaTypeID>4</PleaTypeID>
        <LawyerOfficeName>טל שרון </LawyerOfficeName>
        <LawyerOfficeID>71440720</LawyerOfficeID>
        <GroupPartyAlias/>
        <IsConverted>false</IsConverted>
        <LegalEntityNameID>9505</LegalEntityNameID>
        <RepresentatedNamesOfAssistant/>
        <LegalEntityTypeID>4</LegalEntityTypeID>
        <IsVerdictExists>false</IsVerdictExists>
        <IsAsirAzir>false</IsAsirAzir>
        <MainAndSecSpec/>
        <IsPublicationProhibited>false</IsPublicationProhibited>
        <PublicationProhibitedFullName>טל שרון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הילה כהן</FullName>
        <FirstName>הילה</FirstName>
        <LastName>כהן</LastName>
        <PartyPropertyName/>
        <AuthenticationTypeAndNumber>ת"ז 040457061</AuthenticationTypeAndNumber>
        <RepresentatedOrRepresentativesNames>טל שרון</RepresentatedOrRepresentativesNames>
        <RepresentatedOrRepresentativesCount>1</RepresentatedOrRepresentativesCount>
        <InvitedBy/>
        <CaseID>78427028</CaseID>
        <CaseJudicialPersonPresentationDS>
          <CaseJudicalPersonActive>
            <CaseID>78427028</CaseID>
            <JudicialPersonID>013388327@GOV.IL</JudicialPersonID>
            <JudicialPersonTypeID>1</JudicialPersonTypeID>
            <JudicialTypeID>1</JudicialTypeID>
            <IsChairman>false</IsChairman>
            <TreatmentStartDate>2021-06-20T09:09:52.64+03:00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227960052</CasePartyID>
        <PartyTypeID>1</PartyTypeID>
        <ActivityStatusID>1</ActivityStatusID>
        <PartyAliasID>1</PartyAliasID>
        <PartyAliasName>תובע</PartyAliasName>
        <OrdinalNumber>1</OrdinalNumber>
        <LegalEntityID>23724608</LegalEntityID>
        <CaseLegalEntityID>115753981</CaseLegalEntityID>
        <AuthenticationTypeID>1</AuthenticationTypeID>
        <AuthenticationTypeName>ת"ז</AuthenticationTypeName>
        <LegalEntityNumber>040457061</LegalEntityNumber>
        <IsMainPartyType>true</IsMainPartyType>
        <CaseDisplayIdentifier>42720-06-21</CaseDisplayIdentifier>
        <CaseTypeID>10262</CaseTypeID>
        <CaseTypeName>תביעה לאחר הסדר התדיינויות במשפחה (תלה"מ)</CaseTypeName>
        <CaseName>כהן נ' כהן</CaseName>
        <FullAddress>.</FullAddress>
        <MotionID>0</MotionID>
        <CasePleaID>0</CasePleaID>
        <FatherName>מרדכי</FatherName>
        <LinkedCaseID>0</LinkedCaseID>
        <PartyID>1</PartyID>
        <CasePartyCategoryID>2</CasePartyCategoryID>
        <LegalEntityAddressID>85315208</LegalEntityAddressID>
        <PleaTypeID>4</PleaTypeID>
        <GroupPartyAlias>תובעים</GroupPartyAlias>
        <IsConverted>false</IsConverted>
        <LegalEntityRegisteredNameID>9466996</LegalEntityRegisteredNameID>
        <LegalEntityNameID>91552545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הילה כהן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נעם כהן</FullName>
        <FirstName>נעם</FirstName>
        <LastName>כהן</LastName>
        <PartyPropertyName/>
        <AuthenticationTypeAndNumber>ת"ז 037216090</AuthenticationTypeAndNumber>
        <RepresentatedOrRepresentativesNames>גלית צור</RepresentatedOrRepresentativesNames>
        <RepresentatedOrRepresentativesCount>1</RepresentatedOrRepresentativesCount>
        <InvitedBy/>
        <CaseID>78427028</CaseID>
        <CaseJudicialPersonPresentationDS>
          <CaseJudicalPersonActive>
            <CaseID>78427028</CaseID>
            <JudicialPersonID>013388327@GOV.IL</JudicialPersonID>
            <JudicialPersonTypeID>1</JudicialPersonTypeID>
            <JudicialTypeID>1</JudicialTypeID>
            <IsChairman>false</IsChairman>
            <TreatmentStartDate>2021-06-20T09:09:52.64+03:00</TreatmentStartDate>
            <TreatmentFinishDate>9999-12-31T23:59:59+02:00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227960054</CasePartyID>
        <PartyTypeID>1</PartyTypeID>
        <ActivityStatusID>1</ActivityStatusID>
        <PartyAliasID>2</PartyAliasID>
        <PartyAliasName>נתבע</PartyAliasName>
        <OrdinalNumber>1</OrdinalNumber>
        <LegalEntityID>70455904</LegalEntityID>
        <CaseLegalEntityID>115753983</CaseLegalEntityID>
        <AuthenticationTypeID>1</AuthenticationTypeID>
        <AuthenticationTypeName>ת"ז</AuthenticationTypeName>
        <LegalEntityNumber>037216090</LegalEntityNumber>
        <IsMainPartyType>true</IsMainPartyType>
        <CaseDisplayIdentifier>42720-06-21</CaseDisplayIdentifier>
        <CaseTypeID>10262</CaseTypeID>
        <CaseTypeName>תביעה לאחר הסדר התדיינויות במשפחה (תלה"מ)</CaseTypeName>
        <CaseName>כהן נ' כהן</CaseName>
        <FullAddress>יד חנה </FullAddress>
        <MotionID>0</MotionID>
        <CasePleaID>0</CasePleaID>
        <FatherName>מנחם</FatherName>
        <LinkedCaseID>0</LinkedCaseID>
        <PartyID>2</PartyID>
        <CasePartyCategoryID>2</CasePartyCategoryID>
        <LegalEntityAddressID>85315209</LegalEntityAddressID>
        <PleaTypeID>4</PleaTypeID>
        <GroupPartyAlias>נתבעים</GroupPartyAlias>
        <IsConverted>false</IsConverted>
        <LegalEntityRegisteredNameID>2659781</LegalEntityRegisteredNameID>
        <LegalEntityNameID>91552546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נעם כהן</PublicationProhibitedFullName>
      </CaseParties>
    </CasePartiesSelectionDS>
    <CaseName>כהן נ' כהן</CaseName>
    <CaseDisplayIdentifier>42720-06-21</CaseDisplayIdentifier>
    <CaseInterestID>10118</CaseInterestID>
    <CaseTypeShortName>תלה"מ</CaseTypeShortName>
  </dt_DecisionCase>
  <dt_DecisionJudgePanel>
    <JudgeID>013388327@GOV.IL</JudgeID>
    <DisplayName>רבקה מקייס</DisplayName>
    <RoleName>שופט</RoleName>
    <UserTitleName>שופטת בכירה</UserTitleName>
  </dt_DecisionJudgePanel>
  <dt_LegalEntityDetails>
    <Fax>04-9529103</Fax>
    <Phone>077-5444785</Phone>
    <AddressDesc>בנין מיקרוסופט כניסה צפונית , קומה 8 מת"מ</AddressDesc>
    <PartyID>2</PartyID>
    <PartyTypeID>2</PartyTypeID>
    <DecisionID>0</DecisionID>
    <StreetName>אנדרי סחרוב 9</StreetName>
    <ZipCode>3190501</ZipCode>
    <CityName>חיפה</CityName>
    <FullName>גלית צור</FullName>
    <Email>tzurlaw2017@gmail.com</Email>
    <IsPublicationProhibited>false</IsPublicationProhibited>
  </dt_LegalEntityDetails>
  <dt_LegalEntityDetails>
    <Fax>077-2285648</Fax>
    <Phone>052-4747338</Phone>
    <AddressDesc/>
    <PartyID>1</PartyID>
    <PartyTypeID>3</PartyTypeID>
    <DecisionID>0</DecisionID>
    <AssistantRoleID>27</AssistantRoleID>
    <StreetName>האופן 5</StreetName>
    <ZipCode>49512</ZipCode>
    <CityName>פתח תקווה</CityName>
    <FullName> איטייפ-אומניטק בע"מ</FullName>
    <Email>court@etype.co.il</Email>
    <IsPublicationProhibited>false</IsPublicationProhibited>
  </dt_LegalEntityDetails>
  <dt_LegalEntityDetails>
    <Fax>02-5085192</Fax>
    <Phone>072-2537503</Phone>
    <AddressDesc/>
    <PartyTypeID>3</PartyTypeID>
    <DecisionID>0</DecisionID>
    <AssistantRoleID>33</AssistantRoleID>
    <StreetName>גרניט 5</StreetName>
    <CityName>פתח תקווה</CityName>
    <FullName> יחידת סיוע שליד בימ"ש לענייני משפחה כפר סבא-פתח תקווה</FullName>
    <Email>suzana@molsa.gov.il</Email>
    <IsPublicationProhibited>false</IsPublicationProhibited>
  </dt_LegalEntityDetails>
  <dt_LegalEntityDetails>
    <AddressDesc>.</AddressDesc>
    <PartyID>1</PartyID>
    <PartyTypeID>1</PartyTypeID>
    <DecisionID>0</DecisionID>
    <FullName>הילה כהן</FullName>
    <IsPublicationProhibited>false</IsPublicationProhibited>
  </dt_LegalEntityDetails>
  <dt_LegalEntityDetails>
    <Fax>04-8556602</Fax>
    <Phone>04-8556601</Phone>
    <PartyID>1</PartyID>
    <PartyTypeID>2</PartyTypeID>
    <DecisionID>0</DecisionID>
    <StreetName>שד' מוריה 62</StreetName>
    <ZipCode>3457329</ZipCode>
    <CityName>חיפה</CityName>
    <FullName>טל שרון</FullName>
    <Email>talsharonadv@gmail.com</Email>
    <IsPublicationProhibited>false</IsPublicationProhibited>
  </dt_LegalEntityDetails>
  <dt_LegalEntityDetails>
    <PartyID>2</PartyID>
    <PartyTypeID>1</PartyTypeID>
    <DecisionID>0</DecisionID>
    <CityName>יד חנה</CityName>
    <FullName>נעם  כהן</FullName>
    <IsPublicationProhibited>false</IsPublicationProhibited>
  </dt_LegalEntityDetails>
  <dt_CaseJudicalPersonActive>
    <CaseJudicalPerson>שופטת בכירה רבקה מקייס</CaseJudicalPerson>
  </dt_CaseJudicalPersonActive>
  <dt_Sitting>
    <PreviousMeetingDate>2023-01-09T12:30:00+02:00</PreviousMeetingDate>
    <PreviousSittingTypeID>2</PreviousSittingTypeID>
    <PreviousMeetingDisplayName>שופטת בכירה רבקה מקייס</PreviousMeetingDisplayName>
    <PreviousMeetingRoleName>שופט</PreviousMeetingRoleName>
    <PreviousMeetingUserTitleName>שופטת בכירה</PreviousMeetingUserTitleName>
    <PreviousMeetingUserUPN>013388327@GOV.IL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511E1-6E42-4BE8-828E-7FB123F5422B}">
  <ds:schemaRefs/>
</ds:datastoreItem>
</file>

<file path=customXml/itemProps2.xml><?xml version="1.0" encoding="utf-8"?>
<ds:datastoreItem xmlns:ds="http://schemas.openxmlformats.org/officeDocument/2006/customXml" ds:itemID="{4EA607EB-AE99-4645-9108-9C5B3E3FC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2859</Words>
  <Characters>14295</Characters>
  <Application>Microsoft Office Word</Application>
  <DocSecurity>0</DocSecurity>
  <Lines>119</Lines>
  <Paragraphs>34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2025-01-02T14:16:00Z</dcterms:created>
  <dcterms:modified xsi:type="dcterms:W3CDTF">2025-01-02T14:16:00Z</dcterms:modified>
</cp:coreProperties>
</file>